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1 July 2026.</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22:9. Jesus will speak to the seven churches, telling them all to overcome, and we will see that call for the church to overcome again at the end in Revelation 21:7. This message is about the future, not past events.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Important Note</w:t>
      </w:r>
      <w:r>
        <w:rPr/>
        <w:t xml:space="preserve">: When Revelation speaks about overcoming, it connects back to John’s earlier writings. In 1 John 5:4-5, John explicitly links overcoming to one central truth: believing that Jesus is the Son of God. Revelation continues this same line of thought, describing those who overcome as those who are “washed in the blood of the Lamb.” No other acts are given greater weight in defining what it means to overcome.</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by sending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jc w:val="left"/>
        <w:ind w:left="360" w:right="0" w:firstLine="0" w:hanging="0"/>
        <w:spacing w:after="60"/>
      </w:pPr>
      <w:r>
        <w:rPr>
          <w:sz w:val="18"/>
          <w:szCs w:val="18"/>
          <w:i w:val="1"/>
          <w:iCs w:val="1"/>
        </w:rPr>
        <w:t xml:space="preserve">[fn] The Greek verb σημαίνω carries the sense of “to give a sign,” “to signal,” “to point out,” “to indicate,” “to make clear,” “to make known,” “to communicate information,” “to report,” “to disclose,” or “to signify.” Thus, in Revelation 1:1, ἐσήμανεν may be understood as “He made it known,” “He communicated it,” or “He signified it.” The word can involve communication through signs, but it does not, by itself, require the meaning “to make symbolic.”
Thus, when Revelation 1:1 is translated as “he reported it,” the Greek could also carry the sense that He “made it known,” “communicated it,” or “indicated it,” with the possible nuance of communicating by means of a sign. This does not mean that every detail in Revelation is symbolic, but it does show that the book itself allows for symbolic communication. This is not only suggested in the opening verse; it is explicitly demonstrated when Jesus interprets the seven stars and the seven lampstands for John: “The seven stars are the angels of the seven churches: and the seven candlesticks which thou sawest are the seven churches.” (Revelation 1:20, KJV). Therefore, Revelation should not be forced into a purely literal reading at every point. The lampstands are real features within John’s vision, but they are not merely literal lampstands; they signify the churches, portrayed through the heavenly image of light-bearing stands before Christ.</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firstborn of the dead</w:t>
      </w:r>
      <w:r>
        <w:rPr/>
        <w:t xml:space="preserve"> </w:t>
      </w:r>
      <w:r>
        <w:rPr>
          <w:rStyle w:val="FootnoteReference"/>
        </w:rPr>
        <w:footnoteReference w:id="12"/>
      </w:r>
      <w:r>
        <w:rPr>
          <w:rStyle w:val="FootnoteReference"/>
        </w:rPr>
        <w:footnoteReference w:id="13"/>
      </w:r>
      <w:r>
        <w:rPr/>
        <w:t xml:space="preserve">, and the ruler of the kings of the earth. Unto him who </w:t>
      </w:r>
      <w:r>
        <w:rPr>
          <w:b w:val="1"/>
          <w:bCs w:val="1"/>
        </w:rPr>
        <w:t xml:space="preserve">loved us</w:t>
      </w:r>
      <w:r>
        <w:rPr/>
        <w:t xml:space="preserve"> </w:t>
      </w:r>
      <w:r>
        <w:rPr>
          <w:rStyle w:val="FootnoteReference"/>
        </w:rPr>
        <w:footnoteReference w:id="14"/>
      </w:r>
      <w:r>
        <w:rPr/>
        <w:t xml:space="preserve"> </w:t>
      </w:r>
      <w:r>
        <w:rPr>
          <w:rStyle w:val="FootnoteReference"/>
        </w:rPr>
        <w:footnoteReference w:id="15"/>
      </w:r>
      <w:r>
        <w:rPr/>
        <w:t xml:space="preserve">, and </w:t>
      </w:r>
      <w:r>
        <w:rPr>
          <w:b w:val="1"/>
          <w:bCs w:val="1"/>
        </w:rPr>
        <w:t xml:space="preserve">released us from our sins by his blood</w:t>
      </w:r>
      <w:r>
        <w:rPr/>
        <w:t xml:space="preserve"> </w:t>
      </w:r>
      <w:r>
        <w:rPr>
          <w:rStyle w:val="FootnoteReference"/>
        </w:rPr>
        <w:footnoteReference w:id="16"/>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7"/>
      </w:r>
      <w:r>
        <w:rPr/>
        <w:t xml:space="preserve"> </w:t>
      </w:r>
      <w:r>
        <w:rPr>
          <w:rStyle w:val="FootnoteReference"/>
        </w:rPr>
        <w:footnoteReference w:id="18"/>
      </w:r>
      <w:r>
        <w:rPr/>
        <w:t xml:space="preserve"> and his Father; to him be </w:t>
      </w:r>
      <w:r>
        <w:rPr>
          <w:b w:val="1"/>
          <w:bCs w:val="1"/>
        </w:rPr>
        <w:t xml:space="preserve">glory and dominion unto the ages of the ages.</w:t>
      </w:r>
      <w:r>
        <w:rPr/>
        <w:t xml:space="preserve"> </w:t>
      </w:r>
      <w:r>
        <w:rPr>
          <w:rStyle w:val="FootnoteReference"/>
        </w:rPr>
        <w:footnoteReference w:id="19"/>
      </w:r>
      <w:r>
        <w:rPr/>
        <w:t xml:space="preserve">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20"/>
      </w:r>
      <w:r>
        <w:rPr/>
        <w:t xml:space="preserve">; and every eye shall see him, and they also who </w:t>
      </w:r>
      <w:r>
        <w:rPr>
          <w:b w:val="1"/>
          <w:bCs w:val="1"/>
        </w:rPr>
        <w:t xml:space="preserve">pierced him</w:t>
      </w:r>
      <w:r>
        <w:rPr/>
        <w:t xml:space="preserve"> </w:t>
      </w:r>
      <w:r>
        <w:rPr>
          <w:rStyle w:val="FootnoteReference"/>
        </w:rPr>
        <w:footnoteReference w:id="21"/>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22"/>
      </w:r>
      <w:r>
        <w:rPr/>
        <w:t xml:space="preserve">, the </w:t>
      </w:r>
      <w:r>
        <w:rPr>
          <w:b w:val="1"/>
          <w:bCs w:val="1"/>
        </w:rPr>
        <w:t xml:space="preserve">Almighty</w:t>
      </w:r>
      <w:r>
        <w:rPr/>
        <w:t xml:space="preserve"> </w:t>
      </w:r>
      <w:r>
        <w:rPr>
          <w:rStyle w:val="FootnoteReference"/>
        </w:rPr>
        <w:footnoteReference w:id="23"/>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4"/>
      </w:r>
      <w:r>
        <w:rPr/>
        <w:t xml:space="preserve">, and fellow partaker in tribulation, and in the kingdom and patience of Jesus</w:t>
      </w:r>
      <w:r>
        <w:rPr/>
        <w:t xml:space="preserve">, was in the island that is called Patmos, for the word of God, and for </w:t>
      </w:r>
      <w:r>
        <w:rPr>
          <w:b w:val="1"/>
          <w:bCs w:val="1"/>
        </w:rPr>
        <w:t xml:space="preserve">the testimony of Jesus</w:t>
      </w:r>
      <w:r>
        <w:rPr>
          <w:rStyle w:val="FootnoteReference"/>
        </w:rPr>
        <w:footnoteReference w:id="25"/>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jc w:val="left"/>
        <w:ind w:left="360" w:right="0" w:firstLine="0" w:hanging="0"/>
        <w:spacing w:after="60"/>
      </w:pPr>
      <w:r>
        <w:rPr>
          <w:sz w:val="18"/>
          <w:szCs w:val="18"/>
          <w:i w:val="1"/>
          <w:iCs w:val="1"/>
        </w:rPr>
        <w:t xml:space="preserve">[fn] John says he is a “fellow partaker”, which appears to echo the language found in Paul’s writings, which were primarily addressed to the churches among the nations. Further, John is not just speaking about partaking in general tribulation; he is also including the kingdom and the patience of Jesus.</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6"/>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7"/>
      </w:r>
      <w:r>
        <w:rPr/>
        <w:t xml:space="preserve"> </w:t>
      </w:r>
      <w:r>
        <w:rPr>
          <w:rStyle w:val="FootnoteReference"/>
        </w:rPr>
        <w:footnoteReference w:id="28"/>
      </w:r>
      <w:r>
        <w:rPr/>
        <w:t xml:space="preserve">, and send it unto the seven churches</w:t>
      </w:r>
      <w:r>
        <w:rPr/>
        <w:t xml:space="preserve">; unto </w:t>
      </w:r>
      <w:r>
        <w:rPr>
          <w:b w:val="1"/>
          <w:bCs w:val="1"/>
        </w:rPr>
        <w:t xml:space="preserve">Ephesus</w:t>
      </w:r>
      <w:r>
        <w:rPr/>
        <w:t xml:space="preserve"> </w:t>
      </w:r>
      <w:r>
        <w:rPr>
          <w:rStyle w:val="FootnoteReference"/>
        </w:rPr>
        <w:footnoteReference w:id="29"/>
      </w:r>
      <w:r>
        <w:rPr/>
        <w:t xml:space="preserve">, and unto </w:t>
      </w:r>
      <w:r>
        <w:rPr>
          <w:b w:val="1"/>
          <w:bCs w:val="1"/>
        </w:rPr>
        <w:t xml:space="preserve">Smyrna</w:t>
      </w:r>
      <w:r>
        <w:rPr>
          <w:rStyle w:val="FootnoteReference"/>
        </w:rPr>
        <w:footnoteReference w:id="30"/>
      </w:r>
      <w:r>
        <w:rPr/>
        <w:t xml:space="preserve">, and unto </w:t>
      </w:r>
      <w:r>
        <w:rPr>
          <w:b w:val="1"/>
          <w:bCs w:val="1"/>
        </w:rPr>
        <w:t xml:space="preserve">Pergamum</w:t>
      </w:r>
      <w:r>
        <w:rPr>
          <w:rStyle w:val="FootnoteReference"/>
        </w:rPr>
        <w:footnoteReference w:id="31"/>
      </w:r>
      <w:r>
        <w:rPr/>
        <w:t xml:space="preserve">, and unto </w:t>
      </w:r>
      <w:r>
        <w:rPr>
          <w:b w:val="1"/>
          <w:bCs w:val="1"/>
        </w:rPr>
        <w:t xml:space="preserve">Thyatira</w:t>
      </w:r>
      <w:r>
        <w:rPr>
          <w:rStyle w:val="FootnoteReference"/>
        </w:rPr>
        <w:footnoteReference w:id="32"/>
      </w:r>
      <w:r>
        <w:rPr/>
        <w:t xml:space="preserve">, and unto </w:t>
      </w:r>
      <w:r>
        <w:rPr>
          <w:b w:val="1"/>
          <w:bCs w:val="1"/>
        </w:rPr>
        <w:t xml:space="preserve">Sardis</w:t>
      </w:r>
      <w:r>
        <w:rPr>
          <w:rStyle w:val="FootnoteReference"/>
        </w:rPr>
        <w:footnoteReference w:id="33"/>
      </w:r>
      <w:r>
        <w:rPr/>
        <w:t xml:space="preserve">, and unto </w:t>
      </w:r>
      <w:r>
        <w:rPr>
          <w:b w:val="1"/>
          <w:bCs w:val="1"/>
        </w:rPr>
        <w:t xml:space="preserve">Philadelphia</w:t>
      </w:r>
      <w:r>
        <w:rPr>
          <w:rStyle w:val="FootnoteReference"/>
        </w:rPr>
        <w:footnoteReference w:id="34"/>
      </w:r>
      <w:r>
        <w:rPr/>
        <w:t xml:space="preserve">, and unto </w:t>
      </w:r>
      <w:r>
        <w:rPr>
          <w:b w:val="1"/>
          <w:bCs w:val="1"/>
        </w:rPr>
        <w:t xml:space="preserve">Laodicea</w:t>
      </w:r>
      <w:r>
        <w:rPr>
          <w:rStyle w:val="FootnoteReference"/>
        </w:rPr>
        <w:footnoteReference w:id="35"/>
      </w:r>
      <w:r>
        <w:rPr/>
        <w:t xml:space="preserve">.</w:t>
      </w:r>
    </w:p>
    <w:p>
      <w:pPr>
        <w:jc w:val="left"/>
        <w:ind w:left="360" w:right="0" w:firstLine="0" w:hanging="0"/>
        <w:spacing w:after="60"/>
      </w:pPr>
      <w:r>
        <w:rPr>
          <w:sz w:val="18"/>
          <w:szCs w:val="18"/>
          <w:i w:val="1"/>
          <w:iCs w:val="1"/>
        </w:rPr>
        <w:t xml:space="preserve">[fn] It is worth noting that the possible delivery route of the letter may correspond to the chiastic structure of the messages to the churches.
![7 churches locations](/img-study/RevelationChurches_low.jpg)
Image from https://biblemapper.com/</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36"/>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37"/>
      </w:r>
      <w:r>
        <w:rPr/>
        <w:t xml:space="preserve"> one like the </w:t>
      </w:r>
      <w:r>
        <w:rPr>
          <w:b w:val="1"/>
          <w:bCs w:val="1"/>
        </w:rPr>
        <w:t xml:space="preserve">Son of man</w:t>
      </w:r>
      <w:r>
        <w:rPr/>
        <w:t xml:space="preserve"> </w:t>
      </w:r>
      <w:r>
        <w:rPr>
          <w:rStyle w:val="FootnoteReference"/>
        </w:rPr>
        <w:footnoteReference w:id="38"/>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39"/>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40"/>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41"/>
      </w:r>
      <w:r>
        <w:rPr/>
        <w:t xml:space="preserve">; and </w:t>
      </w:r>
      <w:r>
        <w:rPr>
          <w:b w:val="1"/>
          <w:bCs w:val="1"/>
        </w:rPr>
        <w:t xml:space="preserve">his voice as the sound of many waters</w:t>
      </w:r>
      <w:r>
        <w:rPr/>
        <w:t xml:space="preserve"> </w:t>
      </w:r>
      <w:r>
        <w:rPr>
          <w:rStyle w:val="FootnoteReference"/>
        </w:rPr>
        <w:footnoteReference w:id="42"/>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43"/>
      </w:r>
      <w:r>
        <w:rPr/>
        <w:t xml:space="preserve"> </w:t>
      </w:r>
      <w:r>
        <w:rPr>
          <w:b w:val="1"/>
          <w:bCs w:val="1"/>
        </w:rPr>
        <w:t xml:space="preserve">seven stars</w:t>
      </w:r>
      <w:r>
        <w:rPr/>
        <w:t xml:space="preserve"> </w:t>
      </w:r>
      <w:r>
        <w:rPr>
          <w:rStyle w:val="FootnoteReference"/>
        </w:rPr>
        <w:footnoteReference w:id="44"/>
      </w:r>
      <w:r>
        <w:rPr/>
        <w:t xml:space="preserve"> </w:t>
      </w:r>
      <w:r>
        <w:rPr>
          <w:rStyle w:val="FootnoteReference"/>
        </w:rPr>
        <w:footnoteReference w:id="45"/>
      </w:r>
      <w:r>
        <w:rPr/>
        <w:t xml:space="preserve">: and out of his mouth went a sharp </w:t>
      </w:r>
      <w:r>
        <w:rPr>
          <w:b w:val="1"/>
          <w:bCs w:val="1"/>
        </w:rPr>
        <w:t xml:space="preserve">two-edged sword</w:t>
      </w:r>
      <w:r>
        <w:rPr/>
        <w:t xml:space="preserve"> </w:t>
      </w:r>
      <w:r>
        <w:rPr>
          <w:rStyle w:val="FootnoteReference"/>
        </w:rPr>
        <w:footnoteReference w:id="46"/>
      </w:r>
      <w:r>
        <w:rPr/>
        <w:t xml:space="preserve">: and </w:t>
      </w:r>
      <w:r>
        <w:rPr>
          <w:b w:val="1"/>
          <w:bCs w:val="1"/>
        </w:rPr>
        <w:t xml:space="preserve">his countenance was as the sun shines in his might</w:t>
      </w:r>
      <w:r>
        <w:rPr/>
        <w:t xml:space="preserve"> </w:t>
      </w:r>
      <w:r>
        <w:rPr>
          <w:rStyle w:val="FootnoteReference"/>
        </w:rPr>
        <w:footnoteReference w:id="47"/>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48"/>
      </w:r>
      <w:r>
        <w:rPr/>
        <w:t xml:space="preserve">. And he laid his </w:t>
      </w:r>
      <w:r>
        <w:rPr>
          <w:b w:val="1"/>
          <w:bCs w:val="1"/>
        </w:rPr>
        <w:t xml:space="preserve">right hand</w:t>
      </w:r>
      <w:r>
        <w:rPr/>
        <w:t xml:space="preserve"> </w:t>
      </w:r>
      <w:r>
        <w:rPr>
          <w:rStyle w:val="FootnoteReference"/>
        </w:rPr>
        <w:footnoteReference w:id="49"/>
      </w:r>
      <w:r>
        <w:rPr/>
        <w:t xml:space="preserve"> upon me, saying unto me, </w:t>
      </w:r>
      <w:r>
        <w:rPr>
          <w:b w:val="1"/>
          <w:bCs w:val="1"/>
        </w:rPr>
        <w:t xml:space="preserve">Fear not</w:t>
      </w:r>
      <w:r>
        <w:rPr/>
        <w:t xml:space="preserve"> </w:t>
      </w:r>
      <w:r>
        <w:rPr>
          <w:rStyle w:val="FootnoteReference"/>
        </w:rPr>
        <w:footnoteReference w:id="50"/>
      </w:r>
      <w:r>
        <w:rPr/>
        <w:t xml:space="preserve">; I am the </w:t>
      </w:r>
      <w:r>
        <w:rPr>
          <w:b w:val="1"/>
          <w:bCs w:val="1"/>
        </w:rPr>
        <w:t xml:space="preserve">first and the last</w:t>
      </w:r>
      <w:r>
        <w:rPr/>
        <w:t xml:space="preserve"> </w:t>
      </w:r>
      <w:r>
        <w:rPr>
          <w:rStyle w:val="FootnoteReference"/>
        </w:rPr>
        <w:footnoteReference w:id="51"/>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unto the ages of the ages</w:t>
      </w:r>
      <w:r>
        <w:rPr/>
        <w:t xml:space="preserve"> </w:t>
      </w:r>
      <w:r>
        <w:rPr>
          <w:rStyle w:val="FootnoteReference"/>
        </w:rPr>
        <w:footnoteReference w:id="52"/>
      </w:r>
      <w:r>
        <w:rPr/>
        <w:t xml:space="preserve">; and have the </w:t>
      </w:r>
      <w:r>
        <w:rPr>
          <w:b w:val="1"/>
          <w:bCs w:val="1"/>
        </w:rPr>
        <w:t xml:space="preserve">keys</w:t>
      </w:r>
      <w:r>
        <w:rPr/>
        <w:t xml:space="preserve"> </w:t>
      </w:r>
      <w:r>
        <w:rPr>
          <w:rStyle w:val="FootnoteReference"/>
        </w:rPr>
        <w:footnoteReference w:id="53"/>
      </w:r>
      <w:r>
        <w:rPr/>
        <w:t xml:space="preserve"> of </w:t>
      </w:r>
      <w:r>
        <w:rPr>
          <w:b w:val="1"/>
          <w:bCs w:val="1"/>
        </w:rPr>
        <w:t xml:space="preserve">death and of hell </w:t>
      </w:r>
      <w:r>
        <w:rPr/>
        <w:t xml:space="preserve"> </w:t>
      </w:r>
      <w:r>
        <w:rPr>
          <w:rStyle w:val="FootnoteReference"/>
        </w:rPr>
        <w:footnoteReference w:id="54"/>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55"/>
      </w:r>
      <w:r>
        <w:rPr/>
        <w:t xml:space="preserve">, and the things which are, and the </w:t>
      </w:r>
      <w:r>
        <w:rPr>
          <w:b w:val="1"/>
          <w:bCs w:val="1"/>
        </w:rPr>
        <w:t xml:space="preserve">things which shall be after this</w:t>
      </w:r>
      <w:r>
        <w:rPr/>
        <w:t xml:space="preserve"> </w:t>
      </w:r>
      <w:r>
        <w:rPr>
          <w:rStyle w:val="FootnoteReference"/>
        </w:rPr>
        <w:footnoteReference w:id="56"/>
      </w:r>
      <w:r>
        <w:rPr/>
        <w:t xml:space="preserve">;</w:t>
      </w:r>
    </w:p>
    <w:p>
      <w:pPr>
        <w:jc w:val="left"/>
        <w:ind w:left="360" w:right="0" w:firstLine="0" w:hanging="0"/>
        <w:spacing w:after="60"/>
      </w:pPr>
      <w:r>
        <w:rPr>
          <w:sz w:val="18"/>
          <w:szCs w:val="18"/>
          <w:i w:val="1"/>
          <w:iCs w:val="1"/>
        </w:rPr>
        <w:t xml:space="preserve">[fn] In light of Revelation 1:19, chapters 1–3 focus on what is present and what will follow. When the vision reaches Revelation 4, the emphasis shifts exclusively to “what must take place after these things.”</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57"/>
      </w:r>
      <w:r>
        <w:rPr/>
        <w:t xml:space="preserve"> of the </w:t>
      </w:r>
      <w:r>
        <w:rPr>
          <w:b w:val="1"/>
          <w:bCs w:val="1"/>
        </w:rPr>
        <w:t xml:space="preserve">seven stars</w:t>
      </w:r>
      <w:r>
        <w:rPr/>
        <w:t xml:space="preserve"> </w:t>
      </w:r>
      <w:r>
        <w:rPr>
          <w:rStyle w:val="FootnoteReference"/>
        </w:rPr>
        <w:footnoteReference w:id="58"/>
      </w:r>
      <w:r>
        <w:rPr/>
        <w:t xml:space="preserve"> in my </w:t>
      </w:r>
      <w:r>
        <w:rPr>
          <w:b w:val="1"/>
          <w:bCs w:val="1"/>
        </w:rPr>
        <w:t xml:space="preserve">right hand</w:t>
      </w:r>
      <w:r>
        <w:rPr/>
        <w:t xml:space="preserve"> </w:t>
      </w:r>
      <w:r>
        <w:rPr>
          <w:rStyle w:val="FootnoteReference"/>
        </w:rPr>
        <w:footnoteReference w:id="59"/>
      </w:r>
      <w:r>
        <w:rPr/>
        <w:t xml:space="preserve">, and the seven golden </w:t>
      </w:r>
      <w:r>
        <w:rPr>
          <w:b w:val="1"/>
          <w:bCs w:val="1"/>
        </w:rPr>
        <w:t xml:space="preserve">lampstands</w:t>
      </w:r>
      <w:r>
        <w:rPr/>
        <w:t xml:space="preserve"> </w:t>
      </w:r>
      <w:r>
        <w:rPr>
          <w:rStyle w:val="FootnoteReference"/>
        </w:rPr>
        <w:footnoteReference w:id="60"/>
      </w:r>
      <w:r>
        <w:rPr/>
        <w:t xml:space="preserve">. The </w:t>
      </w:r>
      <w:r>
        <w:rPr>
          <w:b w:val="1"/>
          <w:bCs w:val="1"/>
        </w:rPr>
        <w:t xml:space="preserve">seven stars</w:t>
      </w:r>
      <w:r>
        <w:rPr/>
        <w:t xml:space="preserve"> </w:t>
      </w:r>
      <w:r>
        <w:rPr>
          <w:rStyle w:val="FootnoteReference"/>
        </w:rPr>
        <w:footnoteReference w:id="61"/>
      </w:r>
      <w:r>
        <w:rPr/>
        <w:t xml:space="preserve"> are the </w:t>
      </w:r>
      <w:r>
        <w:rPr>
          <w:b w:val="1"/>
          <w:bCs w:val="1"/>
        </w:rPr>
        <w:t xml:space="preserve">messengers of the seven churches</w:t>
      </w:r>
      <w:r>
        <w:rPr/>
        <w:t xml:space="preserve"> </w:t>
      </w:r>
      <w:r>
        <w:rPr>
          <w:rStyle w:val="FootnoteReference"/>
        </w:rPr>
        <w:footnoteReference w:id="62"/>
      </w:r>
      <w:r>
        <w:rPr/>
        <w:t xml:space="preserve">: and the seven </w:t>
      </w:r>
      <w:r>
        <w:rPr>
          <w:b w:val="1"/>
          <w:bCs w:val="1"/>
        </w:rPr>
        <w:t xml:space="preserve">lampstands</w:t>
      </w:r>
      <w:r>
        <w:rPr/>
        <w:t xml:space="preserve"> </w:t>
      </w:r>
      <w:r>
        <w:rPr>
          <w:rStyle w:val="FootnoteReference"/>
        </w:rPr>
        <w:footnoteReference w:id="63"/>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jc w:val="left"/>
        <w:ind w:left="360" w:right="0" w:firstLine="0" w:hanging="0"/>
        <w:spacing w:after="60"/>
      </w:pPr>
      <w:r>
        <w:rPr>
          <w:sz w:val="18"/>
          <w:szCs w:val="18"/>
          <w:i w:val="1"/>
          <w:iCs w:val="1"/>
        </w:rPr>
        <w:t xml:space="preserve">[fn] “mystery” (μυστήριον) appears four times in Revelation and is applied specifically to the identity of two symbolic elements: the “seven stars” in Jesus’ right hand and “Mystery Babylon.” When we examine Mystery Babylon in its extended treatment (Revelation 17–19), she is set in deliberate contrast to the bride of Christ, the New Jerusalem. If the bride stands as the counterpart to this “mystery” city, and the seven stars are likewise called a “mystery,” the text may be suggesting a parallel in kind. In that case, the seven stars need not be understood strictly as angels, but could instead represent specific members within the body of the bride.</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64"/>
      </w:r>
      <w:r>
        <w:rPr/>
        <w:t xml:space="preserve">; These things says he who holds the </w:t>
      </w:r>
      <w:r>
        <w:rPr>
          <w:b w:val="1"/>
          <w:bCs w:val="1"/>
        </w:rPr>
        <w:t xml:space="preserve">seven stars</w:t>
      </w:r>
      <w:r>
        <w:rPr/>
        <w:t xml:space="preserve"> </w:t>
      </w:r>
      <w:r>
        <w:rPr>
          <w:rStyle w:val="FootnoteReference"/>
        </w:rPr>
        <w:footnoteReference w:id="65"/>
      </w:r>
      <w:r>
        <w:rPr/>
        <w:t xml:space="preserve"> in his </w:t>
      </w:r>
      <w:r>
        <w:rPr>
          <w:b w:val="1"/>
          <w:bCs w:val="1"/>
        </w:rPr>
        <w:t xml:space="preserve">right hand</w:t>
      </w:r>
      <w:r>
        <w:rPr/>
        <w:t xml:space="preserve"> </w:t>
      </w:r>
      <w:r>
        <w:rPr>
          <w:rStyle w:val="FootnoteReference"/>
        </w:rPr>
        <w:footnoteReference w:id="66"/>
      </w:r>
      <w:r>
        <w:rPr/>
        <w:t xml:space="preserve">, who walks in the midst of the seven golden </w:t>
      </w:r>
      <w:r>
        <w:rPr>
          <w:b w:val="1"/>
          <w:bCs w:val="1"/>
        </w:rPr>
        <w:t xml:space="preserve">lampstands</w:t>
      </w:r>
      <w:r>
        <w:rPr/>
        <w:t xml:space="preserve"> </w:t>
      </w:r>
      <w:r>
        <w:rPr>
          <w:rStyle w:val="FootnoteReference"/>
        </w:rPr>
        <w:footnoteReference w:id="67"/>
      </w:r>
      <w:r>
        <w:rPr/>
        <w:t xml:space="preserve">;</w:t>
      </w:r>
    </w:p>
    <w:p>
      <w:pPr>
        <w:pStyle w:val="BodyVerse"/>
      </w:pPr>
      <w:r>
        <w:rPr>
          <w:b w:val="1"/>
          <w:bCs w:val="1"/>
        </w:rPr>
        <w:t xml:space="preserve">[[@Bible:Re 2:2]] </w:t>
      </w:r>
      <w:r>
        <w:rPr>
          <w:sz w:val="22"/>
          <w:szCs w:val="22"/>
          <w:b w:val="1"/>
          <w:bCs w:val="1"/>
          <w:vertAlign w:val="superscript"/>
        </w:rPr>
        <w:t xml:space="preserve">2  </w:t>
      </w:r>
      <w:r>
        <w:rPr>
          <w:b w:val="1"/>
          <w:bCs w:val="1"/>
        </w:rPr>
        <w:t xml:space="preserve">I know thy works</w:t>
      </w:r>
      <w:r>
        <w:rPr/>
        <w:t xml:space="preserve"> </w:t>
      </w:r>
      <w:r>
        <w:rPr>
          <w:rStyle w:val="FootnoteReference"/>
        </w:rPr>
        <w:footnoteReference w:id="68"/>
      </w:r>
      <w:r>
        <w:rPr/>
        <w:t xml:space="preserve"> </w:t>
      </w:r>
      <w:r>
        <w:rPr>
          <w:rStyle w:val="FootnoteReference"/>
        </w:rPr>
        <w:footnoteReference w:id="69"/>
      </w:r>
      <w:r>
        <w:rPr/>
        <w:t xml:space="preserve">, and thy </w:t>
      </w:r>
      <w:r>
        <w:rPr>
          <w:b w:val="1"/>
          <w:bCs w:val="1"/>
        </w:rPr>
        <w:t xml:space="preserve">labor</w:t>
      </w:r>
      <w:r>
        <w:rPr/>
        <w:t xml:space="preserve"> </w:t>
      </w:r>
      <w:r>
        <w:rPr>
          <w:rStyle w:val="FootnoteReference"/>
        </w:rPr>
        <w:footnoteReference w:id="70"/>
      </w:r>
      <w:r>
        <w:rPr/>
        <w:t xml:space="preserve">, and thy patience, and how you can not bear those who are evil: and you have tested those who say they are apostles, and are not, and have found them </w:t>
      </w:r>
      <w:r>
        <w:rPr>
          <w:b w:val="1"/>
          <w:bCs w:val="1"/>
        </w:rPr>
        <w:t xml:space="preserve">liars</w:t>
      </w:r>
      <w:r>
        <w:rPr/>
        <w:t xml:space="preserve"> </w:t>
      </w:r>
      <w:r>
        <w:rPr>
          <w:rStyle w:val="FootnoteReference"/>
        </w:rPr>
        <w:footnoteReference w:id="71"/>
      </w:r>
      <w:r>
        <w:rPr/>
        <w:t xml:space="preserve">:</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72"/>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73"/>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74"/>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works of the </w:t>
      </w:r>
      <w:r>
        <w:rPr>
          <w:b w:val="1"/>
          <w:bCs w:val="1"/>
        </w:rPr>
        <w:t xml:space="preserve">Nicolaitans </w:t>
      </w:r>
      <w:r>
        <w:rPr/>
        <w:t xml:space="preserve"> </w:t>
      </w:r>
      <w:r>
        <w:rPr>
          <w:rStyle w:val="FootnoteReference"/>
        </w:rPr>
        <w:footnoteReference w:id="75"/>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76"/>
      </w:r>
      <w:r>
        <w:rPr/>
        <w:t xml:space="preserve"> what </w:t>
      </w:r>
      <w:r>
        <w:rPr>
          <w:b w:val="1"/>
          <w:bCs w:val="1"/>
        </w:rPr>
        <w:t xml:space="preserve">the Spirit says</w:t>
      </w:r>
      <w:r>
        <w:rPr/>
        <w:t xml:space="preserve"> </w:t>
      </w:r>
      <w:r>
        <w:rPr>
          <w:rStyle w:val="FootnoteReference"/>
        </w:rPr>
        <w:footnoteReference w:id="77"/>
      </w:r>
      <w:r>
        <w:rPr/>
        <w:t xml:space="preserve"> unto the churches; To him who </w:t>
      </w:r>
      <w:r>
        <w:rPr>
          <w:b w:val="1"/>
          <w:bCs w:val="1"/>
        </w:rPr>
        <w:t xml:space="preserve">overcomes</w:t>
      </w:r>
      <w:r>
        <w:rPr/>
        <w:t xml:space="preserve"> </w:t>
      </w:r>
      <w:r>
        <w:rPr>
          <w:rStyle w:val="FootnoteReference"/>
        </w:rPr>
        <w:footnoteReference w:id="78"/>
      </w:r>
      <w:r>
        <w:rPr/>
        <w:t xml:space="preserve"> will I give to eat of the </w:t>
      </w:r>
      <w:r>
        <w:rPr>
          <w:b w:val="1"/>
          <w:bCs w:val="1"/>
        </w:rPr>
        <w:t xml:space="preserve">tree of life</w:t>
      </w:r>
      <w:r>
        <w:rPr/>
        <w:t xml:space="preserve"> </w:t>
      </w:r>
      <w:r>
        <w:rPr>
          <w:rStyle w:val="FootnoteReference"/>
        </w:rPr>
        <w:footnoteReference w:id="79"/>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80"/>
      </w:r>
      <w:r>
        <w:rPr/>
        <w:t xml:space="preserve">; These things says the </w:t>
      </w:r>
      <w:r>
        <w:rPr>
          <w:b w:val="1"/>
          <w:bCs w:val="1"/>
        </w:rPr>
        <w:t xml:space="preserve">first and the last</w:t>
      </w:r>
      <w:r>
        <w:rPr/>
        <w:t xml:space="preserve"> </w:t>
      </w:r>
      <w:r>
        <w:rPr>
          <w:rStyle w:val="FootnoteReference"/>
        </w:rPr>
        <w:footnoteReference w:id="81"/>
      </w:r>
      <w:r>
        <w:rPr/>
        <w:t xml:space="preserve">, who was dead, and </w:t>
      </w:r>
      <w:r>
        <w:rPr>
          <w:b w:val="1"/>
          <w:bCs w:val="1"/>
        </w:rPr>
        <w:t xml:space="preserve">is alive</w:t>
      </w:r>
      <w:r>
        <w:rPr/>
        <w:t xml:space="preserve"> </w:t>
      </w:r>
      <w:r>
        <w:rPr>
          <w:rStyle w:val="FootnoteReference"/>
        </w:rPr>
        <w:footnoteReference w:id="82"/>
      </w:r>
      <w:r>
        <w:rPr/>
        <w:t xml:space="preserve"> </w:t>
      </w:r>
      <w:r>
        <w:rPr>
          <w:rStyle w:val="FootnoteReference"/>
        </w:rPr>
        <w:footnoteReference w:id="83"/>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w:t>
      </w:r>
      <w:r>
        <w:rPr>
          <w:b w:val="1"/>
          <w:bCs w:val="1"/>
        </w:rPr>
        <w:t xml:space="preserve">poverty, (but you are rich)</w:t>
      </w:r>
      <w:r>
        <w:rPr>
          <w:rStyle w:val="FootnoteReference"/>
        </w:rPr>
        <w:footnoteReference w:id="84"/>
      </w:r>
      <w:r>
        <w:rPr/>
        <w:t xml:space="preserve"> and I know the blasphemy of those who say they are Jews, and are not, but are the </w:t>
      </w:r>
      <w:r>
        <w:rPr>
          <w:b w:val="1"/>
          <w:bCs w:val="1"/>
        </w:rPr>
        <w:t xml:space="preserve">synagogue of Satan</w:t>
      </w:r>
      <w:r>
        <w:rPr/>
        <w:t xml:space="preserve"> </w:t>
      </w:r>
      <w:r>
        <w:rPr>
          <w:rStyle w:val="FootnoteReference"/>
        </w:rPr>
        <w:footnoteReference w:id="85"/>
      </w:r>
      <w:r>
        <w:rPr/>
        <w:t xml:space="preserve">.</w:t>
      </w:r>
    </w:p>
    <w:p>
      <w:pPr>
        <w:pStyle w:val="BodyVerse"/>
      </w:pPr>
      <w:r>
        <w:rPr>
          <w:b w:val="1"/>
          <w:bCs w:val="1"/>
        </w:rPr>
        <w:t xml:space="preserve">[[@Bible:Re 2:10]] </w:t>
      </w:r>
      <w:r>
        <w:rPr>
          <w:sz w:val="22"/>
          <w:szCs w:val="22"/>
          <w:b w:val="1"/>
          <w:bCs w:val="1"/>
          <w:vertAlign w:val="superscript"/>
        </w:rPr>
        <w:t xml:space="preserve">10  </w:t>
      </w:r>
      <w:r>
        <w:rPr>
          <w:b w:val="1"/>
          <w:bCs w:val="1"/>
        </w:rPr>
        <w:t xml:space="preserve">Fear not</w:t>
      </w:r>
      <w:r>
        <w:rPr/>
        <w:t xml:space="preserve"> </w:t>
      </w:r>
      <w:r>
        <w:rPr>
          <w:rStyle w:val="FootnoteReference"/>
        </w:rPr>
        <w:footnoteReference w:id="86"/>
      </w:r>
      <w:r>
        <w:rPr/>
        <w:t xml:space="preserve">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87"/>
      </w:r>
      <w:r>
        <w:rPr/>
        <w:t xml:space="preserve">, and I will give you a crown of life. </w:t>
      </w:r>
      <w:r>
        <w:rPr>
          <w:rStyle w:val="FootnoteReference"/>
        </w:rPr>
        <w:footnoteReference w:id="88"/>
      </w:r>
      <w:r>
        <w:rPr/>
        <w:t xml:space="preserve"> </w:t>
      </w:r>
      <w:r>
        <w:rPr>
          <w:rStyle w:val="FootnoteReference"/>
        </w:rPr>
        <w:footnoteReference w:id="89"/>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90"/>
      </w:r>
      <w:r>
        <w:rPr/>
        <w:t xml:space="preserve"> what </w:t>
      </w:r>
      <w:r>
        <w:rPr>
          <w:b w:val="1"/>
          <w:bCs w:val="1"/>
        </w:rPr>
        <w:t xml:space="preserve">the Spirit says</w:t>
      </w:r>
      <w:r>
        <w:rPr/>
        <w:t xml:space="preserve"> </w:t>
      </w:r>
      <w:r>
        <w:rPr>
          <w:rStyle w:val="FootnoteReference"/>
        </w:rPr>
        <w:footnoteReference w:id="91"/>
      </w:r>
      <w:r>
        <w:rPr/>
        <w:t xml:space="preserve"> unto the churches; He who </w:t>
      </w:r>
      <w:r>
        <w:rPr>
          <w:b w:val="1"/>
          <w:bCs w:val="1"/>
        </w:rPr>
        <w:t xml:space="preserve">overcomes</w:t>
      </w:r>
      <w:r>
        <w:rPr/>
        <w:t xml:space="preserve"> </w:t>
      </w:r>
      <w:r>
        <w:rPr>
          <w:rStyle w:val="FootnoteReference"/>
        </w:rPr>
        <w:footnoteReference w:id="92"/>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93"/>
      </w:r>
      <w:r>
        <w:rPr/>
        <w:t xml:space="preserve">; These things says he who has the sharp </w:t>
      </w:r>
      <w:r>
        <w:rPr>
          <w:b w:val="1"/>
          <w:bCs w:val="1"/>
        </w:rPr>
        <w:t xml:space="preserve">sword with two edges</w:t>
      </w:r>
      <w:r>
        <w:rPr/>
        <w:t xml:space="preserve"> </w:t>
      </w:r>
      <w:r>
        <w:rPr>
          <w:rStyle w:val="FootnoteReference"/>
        </w:rPr>
        <w:footnoteReference w:id="94"/>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w:t>
      </w:r>
      <w:r>
        <w:rPr>
          <w:b w:val="1"/>
          <w:bCs w:val="1"/>
        </w:rPr>
        <w:t xml:space="preserve">not denied my faith</w:t>
      </w:r>
      <w:r>
        <w:rPr/>
        <w:t xml:space="preserve"> </w:t>
      </w:r>
      <w:r>
        <w:rPr>
          <w:rStyle w:val="FootnoteReference"/>
        </w:rPr>
        <w:footnoteReference w:id="95"/>
      </w:r>
      <w:r>
        <w:rPr/>
        <w:t xml:space="preserve"> </w:t>
      </w:r>
      <w:r>
        <w:rPr>
          <w:rStyle w:val="FootnoteReference"/>
        </w:rPr>
        <w:footnoteReference w:id="96"/>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97"/>
      </w:r>
      <w:r>
        <w:rPr/>
        <w:t xml:space="preserve">, and to commit </w:t>
      </w:r>
      <w:r>
        <w:rPr>
          <w:b w:val="1"/>
          <w:bCs w:val="1"/>
        </w:rPr>
        <w:t xml:space="preserve">fornication</w:t>
      </w:r>
      <w:r>
        <w:rPr/>
        <w:t xml:space="preserve"> </w:t>
      </w:r>
      <w:r>
        <w:rPr>
          <w:rStyle w:val="FootnoteReference"/>
        </w:rPr>
        <w:footnoteReference w:id="98"/>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99"/>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100"/>
      </w:r>
      <w:r>
        <w:rPr/>
        <w:t xml:space="preserve">; or else I will come unto you </w:t>
      </w:r>
      <w:r>
        <w:rPr>
          <w:b w:val="1"/>
          <w:bCs w:val="1"/>
        </w:rPr>
        <w:t xml:space="preserve">quickly</w:t>
      </w:r>
      <w:r>
        <w:rPr/>
        <w:t xml:space="preserve"> </w:t>
      </w:r>
      <w:r>
        <w:rPr>
          <w:rStyle w:val="FootnoteReference"/>
        </w:rPr>
        <w:footnoteReference w:id="101"/>
      </w:r>
      <w:r>
        <w:rPr/>
        <w:t xml:space="preserve"> and will war with them with the </w:t>
      </w:r>
      <w:r>
        <w:rPr>
          <w:b w:val="1"/>
          <w:bCs w:val="1"/>
        </w:rPr>
        <w:t xml:space="preserve">sword of my mouth</w:t>
      </w:r>
      <w:r>
        <w:rPr/>
        <w:t xml:space="preserve"> </w:t>
      </w:r>
      <w:r>
        <w:rPr>
          <w:rStyle w:val="FootnoteReference"/>
        </w:rPr>
        <w:footnoteReference w:id="102"/>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103"/>
      </w:r>
      <w:r>
        <w:rPr/>
        <w:t xml:space="preserve"> what </w:t>
      </w:r>
      <w:r>
        <w:rPr>
          <w:b w:val="1"/>
          <w:bCs w:val="1"/>
        </w:rPr>
        <w:t xml:space="preserve">the Spirit says</w:t>
      </w:r>
      <w:r>
        <w:rPr/>
        <w:t xml:space="preserve"> </w:t>
      </w:r>
      <w:r>
        <w:rPr>
          <w:rStyle w:val="FootnoteReference"/>
        </w:rPr>
        <w:footnoteReference w:id="104"/>
      </w:r>
      <w:r>
        <w:rPr/>
        <w:t xml:space="preserve"> unto the churches; To him who </w:t>
      </w:r>
      <w:r>
        <w:rPr>
          <w:b w:val="1"/>
          <w:bCs w:val="1"/>
        </w:rPr>
        <w:t xml:space="preserve">overcomes</w:t>
      </w:r>
      <w:r>
        <w:rPr/>
        <w:t xml:space="preserve"> </w:t>
      </w:r>
      <w:r>
        <w:rPr>
          <w:rStyle w:val="FootnoteReference"/>
        </w:rPr>
        <w:footnoteReference w:id="105"/>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106"/>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107"/>
      </w:r>
      <w:r>
        <w:rPr/>
        <w:t xml:space="preserve">; These things says the Son of God, who has his eyes like unto a </w:t>
      </w:r>
      <w:r>
        <w:rPr>
          <w:b w:val="1"/>
          <w:bCs w:val="1"/>
        </w:rPr>
        <w:t xml:space="preserve">flame of fire</w:t>
      </w:r>
      <w:r>
        <w:rPr/>
        <w:t xml:space="preserve"> </w:t>
      </w:r>
      <w:r>
        <w:rPr>
          <w:rStyle w:val="FootnoteReference"/>
        </w:rPr>
        <w:footnoteReference w:id="108"/>
      </w:r>
      <w:r>
        <w:rPr/>
        <w:t xml:space="preserve">, and whose feet are like </w:t>
      </w:r>
      <w:r>
        <w:rPr>
          <w:b w:val="1"/>
          <w:bCs w:val="1"/>
        </w:rPr>
        <w:t xml:space="preserve">fine brass</w:t>
      </w:r>
      <w:r>
        <w:rPr/>
        <w:t xml:space="preserve"> </w:t>
      </w:r>
      <w:r>
        <w:rPr>
          <w:rStyle w:val="FootnoteReference"/>
        </w:rPr>
        <w:footnoteReference w:id="109"/>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110"/>
      </w:r>
      <w:r>
        <w:rPr/>
        <w:t xml:space="preserve"> </w:t>
      </w:r>
      <w:r>
        <w:rPr>
          <w:rStyle w:val="FootnoteReference"/>
        </w:rPr>
        <w:footnoteReference w:id="111"/>
      </w:r>
      <w:r>
        <w:rPr/>
        <w:t xml:space="preserve">, and love, and faith, and service, and thy patience, and </w:t>
      </w:r>
      <w:r>
        <w:rPr>
          <w:b w:val="1"/>
          <w:bCs w:val="1"/>
        </w:rPr>
        <w:t xml:space="preserve">thy last works</w:t>
      </w:r>
      <w:r>
        <w:rPr/>
        <w:t xml:space="preserve"> </w:t>
      </w:r>
      <w:r>
        <w:rPr>
          <w:rStyle w:val="FootnoteReference"/>
        </w:rPr>
        <w:footnoteReference w:id="112"/>
      </w:r>
      <w:r>
        <w:rPr/>
        <w:t xml:space="preserve"> are more than the first.</w:t>
      </w:r>
    </w:p>
    <w:p>
      <w:pPr>
        <w:jc w:val="left"/>
        <w:ind w:left="360" w:right="0" w:firstLine="0" w:hanging="0"/>
        <w:spacing w:after="60"/>
      </w:pPr>
      <w:r>
        <w:rPr>
          <w:sz w:val="18"/>
          <w:szCs w:val="18"/>
          <w:i w:val="1"/>
          <w:iCs w:val="1"/>
        </w:rPr>
        <w:t xml:space="preserve">[fn] If 7 is the number of completion, Jesus only listing 6 qualities here helps emphasize that something is lacking.</w:t>
      </w:r>
    </w:p>
    <w:p>
      <w:pPr>
        <w:pStyle w:val="BodyVerse"/>
      </w:pPr>
      <w:r>
        <w:rPr>
          <w:b w:val="1"/>
          <w:bCs w:val="1"/>
        </w:rPr>
        <w:t xml:space="preserve">[[@Bible:Re 2:20]] </w:t>
      </w:r>
      <w:r>
        <w:rPr>
          <w:sz w:val="22"/>
          <w:szCs w:val="22"/>
          <w:b w:val="1"/>
          <w:bCs w:val="1"/>
          <w:vertAlign w:val="superscript"/>
        </w:rPr>
        <w:t xml:space="preserve">20  </w:t>
      </w:r>
      <w:r>
        <w:rPr/>
        <w:t xml:space="preserve">Notwithstanding, I have this against you, that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113"/>
      </w:r>
      <w:r>
        <w:rPr/>
        <w:t xml:space="preserve">, and to eat things sacrificed unto </w:t>
      </w:r>
      <w:r>
        <w:rPr>
          <w:b w:val="1"/>
          <w:bCs w:val="1"/>
        </w:rPr>
        <w:t xml:space="preserve">idols</w:t>
      </w:r>
      <w:r>
        <w:rPr/>
        <w:t xml:space="preserve"> </w:t>
      </w:r>
      <w:r>
        <w:rPr>
          <w:rStyle w:val="FootnoteReference"/>
        </w:rPr>
        <w:footnoteReference w:id="114"/>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works</w:t>
      </w:r>
      <w:r>
        <w:rPr/>
        <w:t xml:space="preserve"> </w:t>
      </w:r>
      <w:r>
        <w:rPr>
          <w:rStyle w:val="FootnoteReference"/>
        </w:rPr>
        <w:footnoteReference w:id="115"/>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cast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16"/>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17"/>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18"/>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19"/>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20"/>
      </w:r>
      <w:r>
        <w:rPr/>
        <w:t xml:space="preserve"> what </w:t>
      </w:r>
      <w:r>
        <w:rPr>
          <w:b w:val="1"/>
          <w:bCs w:val="1"/>
        </w:rPr>
        <w:t xml:space="preserve">the Spirit says</w:t>
      </w:r>
      <w:r>
        <w:rPr/>
        <w:t xml:space="preserve"> </w:t>
      </w:r>
      <w:r>
        <w:rPr>
          <w:rStyle w:val="FootnoteReference"/>
        </w:rPr>
        <w:footnoteReference w:id="121"/>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22"/>
      </w:r>
      <w:r>
        <w:rPr/>
        <w:t xml:space="preserve">; These things says he who has the </w:t>
      </w:r>
      <w:r>
        <w:rPr>
          <w:b w:val="1"/>
          <w:bCs w:val="1"/>
        </w:rPr>
        <w:t xml:space="preserve">seven Spirits of God</w:t>
      </w:r>
      <w:r>
        <w:rPr/>
        <w:t xml:space="preserve"> </w:t>
      </w:r>
      <w:r>
        <w:rPr>
          <w:rStyle w:val="FootnoteReference"/>
        </w:rPr>
        <w:footnoteReference w:id="123"/>
      </w:r>
      <w:r>
        <w:rPr/>
        <w:t xml:space="preserve">, and the </w:t>
      </w:r>
      <w:r>
        <w:rPr>
          <w:b w:val="1"/>
          <w:bCs w:val="1"/>
        </w:rPr>
        <w:t xml:space="preserve">seven stars</w:t>
      </w:r>
      <w:r>
        <w:rPr/>
        <w:t xml:space="preserve"> </w:t>
      </w:r>
      <w:r>
        <w:rPr>
          <w:rStyle w:val="FootnoteReference"/>
        </w:rPr>
        <w:footnoteReference w:id="124"/>
      </w:r>
      <w:r>
        <w:rPr/>
        <w:t xml:space="preserve">; I know thy </w:t>
      </w:r>
      <w:r>
        <w:rPr>
          <w:b w:val="1"/>
          <w:bCs w:val="1"/>
        </w:rPr>
        <w:t xml:space="preserve">works</w:t>
      </w:r>
      <w:r>
        <w:rPr/>
        <w:t xml:space="preserve"> </w:t>
      </w:r>
      <w:r>
        <w:rPr>
          <w:rStyle w:val="FootnoteReference"/>
        </w:rPr>
        <w:footnoteReference w:id="125"/>
      </w:r>
      <w:r>
        <w:rPr/>
        <w:t xml:space="preserve"> </w:t>
      </w:r>
      <w:r>
        <w:rPr>
          <w:rStyle w:val="FootnoteReference"/>
        </w:rPr>
        <w:footnoteReference w:id="126"/>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27"/>
      </w:r>
      <w:r>
        <w:rPr/>
        <w:t xml:space="preserve">, and </w:t>
      </w:r>
      <w:r>
        <w:rPr>
          <w:b w:val="1"/>
          <w:bCs w:val="1"/>
        </w:rPr>
        <w:t xml:space="preserve">repent</w:t>
      </w:r>
      <w:r>
        <w:rPr/>
        <w:t xml:space="preserve"> </w:t>
      </w:r>
      <w:r>
        <w:rPr>
          <w:rStyle w:val="FootnoteReference"/>
        </w:rPr>
        <w:footnoteReference w:id="128"/>
      </w:r>
      <w:r>
        <w:rPr/>
        <w:t xml:space="preserve">. If, therefore, you will not watch, I will come like a </w:t>
      </w:r>
      <w:r>
        <w:rPr>
          <w:b w:val="1"/>
          <w:bCs w:val="1"/>
        </w:rPr>
        <w:t xml:space="preserve">thief</w:t>
      </w:r>
      <w:r>
        <w:rPr/>
        <w:t xml:space="preserve"> </w:t>
      </w:r>
      <w:r>
        <w:rPr>
          <w:rStyle w:val="FootnoteReference"/>
        </w:rPr>
        <w:footnoteReference w:id="129"/>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30"/>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31"/>
      </w:r>
      <w:r>
        <w:rPr/>
        <w:t xml:space="preserve">, the same shall be clothed in </w:t>
      </w:r>
      <w:r>
        <w:rPr>
          <w:b w:val="1"/>
          <w:bCs w:val="1"/>
        </w:rPr>
        <w:t xml:space="preserve">white raiment</w:t>
      </w:r>
      <w:r>
        <w:rPr/>
        <w:t xml:space="preserve"> </w:t>
      </w:r>
      <w:r>
        <w:rPr>
          <w:rStyle w:val="FootnoteReference"/>
        </w:rPr>
        <w:footnoteReference w:id="132"/>
      </w:r>
      <w:r>
        <w:rPr/>
        <w:t xml:space="preserve">; and I will not blot out his name out of the </w:t>
      </w:r>
      <w:r>
        <w:rPr>
          <w:b w:val="1"/>
          <w:bCs w:val="1"/>
        </w:rPr>
        <w:t xml:space="preserve">book of life</w:t>
      </w:r>
      <w:r>
        <w:rPr/>
        <w:t xml:space="preserve"> </w:t>
      </w:r>
      <w:r>
        <w:rPr>
          <w:rStyle w:val="FootnoteReference"/>
        </w:rPr>
        <w:footnoteReference w:id="133"/>
      </w:r>
      <w:r>
        <w:rPr/>
        <w:t xml:space="preserve">, but I will confess his name before my Father, and before his </w:t>
      </w:r>
      <w:r>
        <w:rPr>
          <w:b w:val="1"/>
          <w:bCs w:val="1"/>
        </w:rPr>
        <w:t xml:space="preserve">messengers</w:t>
      </w:r>
      <w:r>
        <w:rPr/>
        <w:t xml:space="preserve"> </w:t>
      </w:r>
      <w:r>
        <w:rPr>
          <w:rStyle w:val="FootnoteReference"/>
        </w:rPr>
        <w:footnoteReference w:id="134"/>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35"/>
      </w:r>
      <w:r>
        <w:rPr/>
        <w:t xml:space="preserve"> what </w:t>
      </w:r>
      <w:r>
        <w:rPr>
          <w:b w:val="1"/>
          <w:bCs w:val="1"/>
        </w:rPr>
        <w:t xml:space="preserve">the Spirit says</w:t>
      </w:r>
      <w:r>
        <w:rPr/>
        <w:t xml:space="preserve"> </w:t>
      </w:r>
      <w:r>
        <w:rPr>
          <w:rStyle w:val="FootnoteReference"/>
        </w:rPr>
        <w:footnoteReference w:id="136"/>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37"/>
      </w:r>
      <w:r>
        <w:rPr/>
        <w:t xml:space="preserve">; These things says he who is holy, who is true, who has the </w:t>
      </w:r>
      <w:r>
        <w:rPr>
          <w:b w:val="1"/>
          <w:bCs w:val="1"/>
        </w:rPr>
        <w:t xml:space="preserve">key</w:t>
      </w:r>
      <w:r>
        <w:rPr/>
        <w:t xml:space="preserve"> </w:t>
      </w:r>
      <w:r>
        <w:rPr>
          <w:rStyle w:val="FootnoteReference"/>
        </w:rPr>
        <w:footnoteReference w:id="138"/>
      </w:r>
      <w:r>
        <w:rPr/>
        <w:t xml:space="preserve"> of </w:t>
      </w:r>
      <w:r>
        <w:rPr>
          <w:b w:val="1"/>
          <w:bCs w:val="1"/>
        </w:rPr>
        <w:t xml:space="preserve">David</w:t>
      </w:r>
      <w:r>
        <w:rPr/>
        <w:t xml:space="preserve"> </w:t>
      </w:r>
      <w:r>
        <w:rPr>
          <w:rStyle w:val="FootnoteReference"/>
        </w:rPr>
        <w:footnoteReference w:id="139"/>
      </w:r>
      <w:r>
        <w:rPr/>
        <w:t xml:space="preserv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40"/>
      </w:r>
      <w:r>
        <w:rPr/>
        <w:t xml:space="preserve"> </w:t>
      </w:r>
      <w:r>
        <w:rPr>
          <w:rStyle w:val="FootnoteReference"/>
        </w:rPr>
        <w:footnoteReference w:id="141"/>
      </w:r>
      <w:r>
        <w:rPr/>
        <w:t xml:space="preserve">: behold, I have set before you an </w:t>
      </w:r>
      <w:r>
        <w:rPr>
          <w:b w:val="1"/>
          <w:bCs w:val="1"/>
        </w:rPr>
        <w:t xml:space="preserve">open door</w:t>
      </w:r>
      <w:r>
        <w:rPr/>
        <w:t xml:space="preserve"> </w:t>
      </w:r>
      <w:r>
        <w:rPr>
          <w:rStyle w:val="FootnoteReference"/>
        </w:rPr>
        <w:footnoteReference w:id="142"/>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43"/>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44"/>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45"/>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testing</w:t>
      </w:r>
      <w:r>
        <w:rPr/>
        <w:t xml:space="preserve"> </w:t>
      </w:r>
      <w:r>
        <w:rPr>
          <w:rStyle w:val="FootnoteReference"/>
        </w:rPr>
        <w:footnoteReference w:id="146"/>
      </w:r>
      <w:r>
        <w:rPr/>
        <w:t xml:space="preserve">, which shall come upon all the world, to test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47"/>
      </w:r>
      <w:r>
        <w:rPr/>
        <w:t xml:space="preserve">: </w:t>
      </w:r>
      <w:r>
        <w:rPr>
          <w:b w:val="1"/>
          <w:bCs w:val="1"/>
        </w:rPr>
        <w:t xml:space="preserve">hold that fast which you have</w:t>
      </w:r>
      <w:r>
        <w:rPr/>
        <w:t xml:space="preserve"> </w:t>
      </w:r>
      <w:r>
        <w:rPr>
          <w:rStyle w:val="FootnoteReference"/>
        </w:rPr>
        <w:footnoteReference w:id="148"/>
      </w:r>
      <w:r>
        <w:rPr/>
        <w:t xml:space="preserve">, that no one take thy </w:t>
      </w:r>
      <w:r>
        <w:rPr>
          <w:b w:val="1"/>
          <w:bCs w:val="1"/>
        </w:rPr>
        <w:t xml:space="preserve">crown</w:t>
      </w:r>
      <w:r>
        <w:rPr/>
        <w:t xml:space="preserve"> </w:t>
      </w:r>
      <w:r>
        <w:rPr>
          <w:rStyle w:val="FootnoteReference"/>
        </w:rPr>
        <w:footnoteReference w:id="149"/>
      </w:r>
      <w:r>
        <w:rPr/>
        <w:t xml:space="preserve"> </w:t>
      </w:r>
      <w:r>
        <w:rPr>
          <w:rStyle w:val="FootnoteReference"/>
        </w:rPr>
        <w:footnoteReference w:id="150"/>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51"/>
      </w:r>
      <w:r>
        <w:rPr/>
        <w:t xml:space="preserve"> will I make a pillar in the </w:t>
      </w:r>
      <w:r>
        <w:rPr>
          <w:b w:val="1"/>
          <w:bCs w:val="1"/>
        </w:rPr>
        <w:t xml:space="preserve">temple of my God</w:t>
      </w:r>
      <w:r>
        <w:rPr/>
        <w:t xml:space="preserve"> </w:t>
      </w:r>
      <w:r>
        <w:rPr>
          <w:rStyle w:val="FootnoteReference"/>
        </w:rPr>
        <w:footnoteReference w:id="152"/>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53"/>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54"/>
      </w:r>
      <w:r>
        <w:rPr/>
        <w:t xml:space="preserve"> what </w:t>
      </w:r>
      <w:r>
        <w:rPr>
          <w:b w:val="1"/>
          <w:bCs w:val="1"/>
        </w:rPr>
        <w:t xml:space="preserve">the Spirit says</w:t>
      </w:r>
      <w:r>
        <w:rPr/>
        <w:t xml:space="preserve"> </w:t>
      </w:r>
      <w:r>
        <w:rPr>
          <w:rStyle w:val="FootnoteReference"/>
        </w:rPr>
        <w:footnoteReference w:id="155"/>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56"/>
      </w:r>
      <w:r>
        <w:rPr/>
        <w:t xml:space="preserve">; This says the Amen, the </w:t>
      </w:r>
      <w:r>
        <w:rPr>
          <w:b w:val="1"/>
          <w:bCs w:val="1"/>
        </w:rPr>
        <w:t xml:space="preserve">faithful and true witness</w:t>
      </w:r>
      <w:r>
        <w:rPr/>
        <w:t xml:space="preserve"> </w:t>
      </w:r>
      <w:r>
        <w:rPr>
          <w:rStyle w:val="FootnoteReference"/>
        </w:rPr>
        <w:footnoteReference w:id="157"/>
      </w:r>
      <w:r>
        <w:rPr/>
        <w:t xml:space="preserve">, </w:t>
      </w:r>
      <w:r>
        <w:rPr>
          <w:b w:val="1"/>
          <w:bCs w:val="1"/>
        </w:rPr>
        <w:t xml:space="preserve">the beginning of the creation of God</w:t>
      </w:r>
      <w:r>
        <w:rPr/>
        <w:t xml:space="preserve"> </w:t>
      </w:r>
      <w:r>
        <w:rPr>
          <w:rStyle w:val="FootnoteReference"/>
        </w:rPr>
        <w:footnoteReference w:id="158"/>
      </w:r>
      <w:r>
        <w:rPr/>
        <w:t xml:space="preserve">;</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59"/>
      </w:r>
      <w:r>
        <w:rPr/>
        <w:t xml:space="preserve"> </w:t>
      </w:r>
      <w:r>
        <w:rPr>
          <w:rStyle w:val="FootnoteReference"/>
        </w:rPr>
        <w:footnoteReference w:id="160"/>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vomit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61"/>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62"/>
      </w:r>
      <w:r>
        <w:rPr/>
        <w:t xml:space="preserve">, and that the shame of thy </w:t>
      </w:r>
      <w:r>
        <w:rPr>
          <w:b w:val="1"/>
          <w:bCs w:val="1"/>
        </w:rPr>
        <w:t xml:space="preserve">nakedness</w:t>
      </w:r>
      <w:r>
        <w:rPr/>
        <w:t xml:space="preserve"> do not appear </w:t>
      </w:r>
      <w:r>
        <w:rPr>
          <w:rStyle w:val="FootnoteReference"/>
        </w:rPr>
        <w:footnoteReference w:id="163"/>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64"/>
      </w:r>
      <w:r>
        <w:rPr/>
        <w:t xml:space="preserve">, I rebuke and chasten: be zealous therefore, and </w:t>
      </w:r>
      <w:r>
        <w:rPr>
          <w:b w:val="1"/>
          <w:bCs w:val="1"/>
        </w:rPr>
        <w:t xml:space="preserve">repent</w:t>
      </w:r>
      <w:r>
        <w:rPr/>
        <w:t xml:space="preserve"> </w:t>
      </w:r>
      <w:r>
        <w:rPr>
          <w:rStyle w:val="FootnoteReference"/>
        </w:rPr>
        <w:footnoteReference w:id="165"/>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66"/>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67"/>
      </w:r>
      <w:r>
        <w:rPr/>
        <w:t xml:space="preserve"> will I grant to sit with me in my throne, even as I also </w:t>
      </w:r>
      <w:r>
        <w:rPr>
          <w:b w:val="1"/>
          <w:bCs w:val="1"/>
        </w:rPr>
        <w:t xml:space="preserve">overcame</w:t>
      </w:r>
      <w:r>
        <w:rPr/>
        <w:t xml:space="preserve"> </w:t>
      </w:r>
      <w:r>
        <w:rPr>
          <w:rStyle w:val="FootnoteReference"/>
        </w:rPr>
        <w:footnoteReference w:id="168"/>
      </w:r>
      <w:r>
        <w:rPr/>
        <w:t xml:space="preserve"> </w:t>
      </w:r>
      <w:r>
        <w:rPr>
          <w:rStyle w:val="FootnoteReference"/>
        </w:rPr>
        <w:footnoteReference w:id="169"/>
      </w:r>
      <w:r>
        <w:rPr/>
        <w:t xml:space="preserve">, and </w:t>
      </w:r>
      <w:r>
        <w:rPr>
          <w:b w:val="1"/>
          <w:bCs w:val="1"/>
        </w:rPr>
        <w:t xml:space="preserve">am set down with my Father in his throne</w:t>
      </w:r>
      <w:r>
        <w:rPr/>
        <w:t xml:space="preserve"> </w:t>
      </w:r>
      <w:r>
        <w:rPr>
          <w:rStyle w:val="FootnoteReference"/>
        </w:rPr>
        <w:footnoteReference w:id="170"/>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71"/>
      </w:r>
      <w:r>
        <w:rPr/>
        <w:t xml:space="preserve"> what </w:t>
      </w:r>
      <w:r>
        <w:rPr>
          <w:b w:val="1"/>
          <w:bCs w:val="1"/>
        </w:rPr>
        <w:t xml:space="preserve">the Spirit says</w:t>
      </w:r>
      <w:r>
        <w:rPr/>
        <w:t xml:space="preserve"> </w:t>
      </w:r>
      <w:r>
        <w:rPr>
          <w:rStyle w:val="FootnoteReference"/>
        </w:rPr>
        <w:footnoteReference w:id="172"/>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73"/>
      </w:r>
      <w:r>
        <w:rPr/>
        <w:t xml:space="preserve"> in heaven: and the first voice which I heard was as it were of a </w:t>
      </w:r>
      <w:r>
        <w:rPr>
          <w:b w:val="1"/>
          <w:bCs w:val="1"/>
        </w:rPr>
        <w:t xml:space="preserve">trumpet</w:t>
      </w:r>
      <w:r>
        <w:rPr/>
        <w:t xml:space="preserve"> </w:t>
      </w:r>
      <w:r>
        <w:rPr>
          <w:rStyle w:val="FootnoteReference"/>
        </w:rPr>
        <w:footnoteReference w:id="174"/>
      </w:r>
      <w:r>
        <w:rPr/>
        <w:t xml:space="preserve"> talking with me; which said, </w:t>
      </w:r>
      <w:r>
        <w:rPr>
          <w:b w:val="1"/>
          <w:bCs w:val="1"/>
        </w:rPr>
        <w:t xml:space="preserve">Ascend here</w:t>
      </w:r>
      <w:r>
        <w:rPr/>
        <w:t xml:space="preserve"> </w:t>
      </w:r>
      <w:r>
        <w:rPr>
          <w:rStyle w:val="FootnoteReference"/>
        </w:rPr>
        <w:footnoteReference w:id="175"/>
      </w:r>
      <w:r>
        <w:rPr/>
        <w:t xml:space="preserve">, and I will show you </w:t>
      </w:r>
      <w:r>
        <w:rPr>
          <w:b w:val="1"/>
          <w:bCs w:val="1"/>
        </w:rPr>
        <w:t xml:space="preserve">things which must be hereafter</w:t>
      </w:r>
      <w:r>
        <w:rPr/>
        <w:t xml:space="preserve"> </w:t>
      </w:r>
      <w:r>
        <w:rPr>
          <w:rStyle w:val="FootnoteReference"/>
        </w:rPr>
        <w:footnoteReference w:id="176"/>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77"/>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78"/>
      </w:r>
      <w:r>
        <w:rPr/>
        <w:t xml:space="preserve"> sitting, clothed in </w:t>
      </w:r>
      <w:r>
        <w:rPr>
          <w:b w:val="1"/>
          <w:bCs w:val="1"/>
        </w:rPr>
        <w:t xml:space="preserve">white raiment</w:t>
      </w:r>
      <w:r>
        <w:rPr/>
        <w:t xml:space="preserve"> </w:t>
      </w:r>
      <w:r>
        <w:rPr>
          <w:rStyle w:val="FootnoteReference"/>
        </w:rPr>
        <w:footnoteReference w:id="179"/>
      </w:r>
      <w:r>
        <w:rPr/>
        <w:t xml:space="preserve">; and they had on their heads </w:t>
      </w:r>
      <w:r>
        <w:rPr>
          <w:b w:val="1"/>
          <w:bCs w:val="1"/>
        </w:rPr>
        <w:t xml:space="preserve">crowns of gold</w:t>
      </w:r>
      <w:r>
        <w:rPr/>
        <w:t xml:space="preserve"> </w:t>
      </w:r>
      <w:r>
        <w:rPr>
          <w:rStyle w:val="FootnoteReference"/>
        </w:rPr>
        <w:footnoteReference w:id="180"/>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pStyle w:val="SectionBody"/>
      </w:pPr>
      <w:r>
        <w:rPr/>
        <w:t xml:space="preserve">| Witness / text                     |   Rev 4:5 |   Rev 8:5 | Rev 11:19 |    Rev 16:18 |</w:t>
      </w:r>
    </w:p>
    <w:p>
      <w:pPr>
        <w:pStyle w:val="SectionBody"/>
      </w:pPr>
      <w:r>
        <w:rPr/>
        <w:t xml:space="preserve">| </w:t>
      </w:r>
      <w:r>
        <w:rPr/>
        <w:t xml:space="preserve">-: | </w:t>
      </w:r>
      <w:r>
        <w:rPr/>
        <w:t xml:space="preserve">-: | </w:t>
      </w:r>
      <w:r>
        <w:rPr/>
        <w:t xml:space="preserve">-: |</w:t>
      </w:r>
    </w:p>
    <w:p>
      <w:pPr>
        <w:pStyle w:val="SectionBody"/>
      </w:pPr>
      <w:r>
        <w:rPr/>
        <w:t xml:space="preserve">| </w:t>
      </w:r>
      <w:r>
        <w:rPr>
          <w:b w:val="1"/>
          <w:bCs w:val="1"/>
        </w:rPr>
        <w:t xml:space="preserve">NA28 / modern critical pattern</w:t>
      </w:r>
      <w:r>
        <w:rPr/>
        <w:t xml:space="preserve"> | </w:t>
      </w:r>
      <w:r>
        <w:rPr>
          <w:b w:val="1"/>
          <w:bCs w:val="1"/>
        </w:rPr>
        <w:t xml:space="preserve">L–V–T</w:t>
      </w:r>
      <w:r>
        <w:rPr/>
        <w:t xml:space="preserve"> | </w:t>
      </w:r>
      <w:r>
        <w:rPr>
          <w:b w:val="1"/>
          <w:bCs w:val="1"/>
        </w:rPr>
        <w:t xml:space="preserve">T–V–L</w:t>
      </w:r>
      <w:r>
        <w:rPr/>
        <w:t xml:space="preserve"> | </w:t>
      </w:r>
      <w:r>
        <w:rPr>
          <w:b w:val="1"/>
          <w:bCs w:val="1"/>
        </w:rPr>
        <w:t xml:space="preserve">L–V–T</w:t>
      </w:r>
      <w:r>
        <w:rPr/>
        <w:t xml:space="preserve"> |    </w:t>
      </w:r>
      <w:r>
        <w:rPr>
          <w:b w:val="1"/>
          <w:bCs w:val="1"/>
        </w:rPr>
        <w:t xml:space="preserve">L–V–T</w:t>
      </w:r>
      <w:r>
        <w:rPr/>
        <w:t xml:space="preserve"> |</w:t>
      </w:r>
    </w:p>
    <w:p>
      <w:pPr>
        <w:pStyle w:val="SectionBody"/>
      </w:pPr>
      <w:r>
        <w:rPr/>
        <w:t xml:space="preserve">| </w:t>
      </w:r>
      <w:r>
        <w:rPr>
          <w:b w:val="1"/>
          <w:bCs w:val="1"/>
        </w:rPr>
        <w:t xml:space="preserve">Codex Alexandrinus A / 02</w:t>
      </w:r>
      <w:r>
        <w:rPr/>
        <w:t xml:space="preserve">      | </w:t>
      </w:r>
      <w:r>
        <w:rPr>
          <w:b w:val="1"/>
          <w:bCs w:val="1"/>
        </w:rPr>
        <w:t xml:space="preserve">L–V–T</w:t>
      </w:r>
      <w:r>
        <w:rPr/>
        <w:t xml:space="preserve"> | </w:t>
      </w:r>
      <w:r>
        <w:rPr>
          <w:b w:val="1"/>
          <w:bCs w:val="1"/>
        </w:rPr>
        <w:t xml:space="preserve">T–L–V</w:t>
      </w:r>
      <w:r>
        <w:rPr/>
        <w:t xml:space="preserve"> | </w:t>
      </w:r>
      <w:r>
        <w:rPr>
          <w:b w:val="1"/>
          <w:bCs w:val="1"/>
        </w:rPr>
        <w:t xml:space="preserve">L–V–T</w:t>
      </w:r>
      <w:r>
        <w:rPr/>
        <w:t xml:space="preserve"> |    </w:t>
      </w:r>
      <w:r>
        <w:rPr>
          <w:b w:val="1"/>
          <w:bCs w:val="1"/>
        </w:rPr>
        <w:t xml:space="preserve">L–V–T</w:t>
      </w:r>
      <w:r>
        <w:rPr/>
        <w:t xml:space="preserve"> |</w:t>
      </w:r>
    </w:p>
    <w:p>
      <w:pPr>
        <w:pStyle w:val="SectionBody"/>
      </w:pPr>
      <w:r>
        <w:rPr/>
        <w:t xml:space="preserve">| </w:t>
      </w:r>
      <w:r>
        <w:rPr>
          <w:b w:val="1"/>
          <w:bCs w:val="1"/>
        </w:rPr>
        <w:t xml:space="preserve">Codex Sinaiticus א / 01</w:t>
      </w:r>
      <w:r>
        <w:rPr/>
        <w:t xml:space="preserve">        | </w:t>
      </w:r>
      <w:r>
        <w:rPr>
          <w:b w:val="1"/>
          <w:bCs w:val="1"/>
        </w:rPr>
        <w:t xml:space="preserve">L–V–T</w:t>
      </w:r>
      <w:r>
        <w:rPr/>
        <w:t xml:space="preserve"> | </w:t>
      </w:r>
      <w:r>
        <w:rPr>
          <w:b w:val="1"/>
          <w:bCs w:val="1"/>
        </w:rPr>
        <w:t xml:space="preserve">T–V–L</w:t>
      </w:r>
      <w:r>
        <w:rPr/>
        <w:t xml:space="preserve"> | </w:t>
      </w:r>
      <w:r>
        <w:rPr>
          <w:b w:val="1"/>
          <w:bCs w:val="1"/>
        </w:rPr>
        <w:t xml:space="preserve">L–V–T</w:t>
      </w:r>
      <w:r>
        <w:rPr/>
        <w:t xml:space="preserve"> | </w:t>
      </w:r>
      <w:r>
        <w:rPr>
          <w:b w:val="1"/>
          <w:bCs w:val="1"/>
        </w:rPr>
        <w:t xml:space="preserve">T–L–V–T</w:t>
      </w:r>
      <w:r>
        <w:rPr/>
        <w:t xml:space="preserve">* |</w:t>
      </w:r>
    </w:p>
    <w:p>
      <w:pPr>
        <w:pStyle w:val="SectionBody"/>
      </w:pPr>
      <w:r>
        <w:rPr/>
        <w:t xml:space="preserve">| </w:t>
      </w:r>
      <w:r>
        <w:rPr>
          <w:b w:val="1"/>
          <w:bCs w:val="1"/>
        </w:rPr>
        <w:t xml:space="preserve">Stephanus 1550 / KJV order</w:t>
      </w:r>
      <w:r>
        <w:rPr/>
        <w:t xml:space="preserve">     | </w:t>
      </w:r>
      <w:r>
        <w:rPr>
          <w:b w:val="1"/>
          <w:bCs w:val="1"/>
        </w:rPr>
        <w:t xml:space="preserve">L–T–V</w:t>
      </w:r>
      <w:r>
        <w:rPr/>
        <w:t xml:space="preserve"> | </w:t>
      </w:r>
      <w:r>
        <w:rPr>
          <w:b w:val="1"/>
          <w:bCs w:val="1"/>
        </w:rPr>
        <w:t xml:space="preserve">V–T–L</w:t>
      </w:r>
      <w:r>
        <w:rPr/>
        <w:t xml:space="preserve"> | </w:t>
      </w:r>
      <w:r>
        <w:rPr>
          <w:b w:val="1"/>
          <w:bCs w:val="1"/>
        </w:rPr>
        <w:t xml:space="preserve">L–V–T</w:t>
      </w:r>
      <w:r>
        <w:rPr/>
        <w:t xml:space="preserve"> |    </w:t>
      </w:r>
      <w:r>
        <w:rPr>
          <w:b w:val="1"/>
          <w:bCs w:val="1"/>
        </w:rPr>
        <w:t xml:space="preserve">V–T–L</w:t>
      </w:r>
      <w:r>
        <w:rPr/>
        <w:t xml:space="preserve"> |</w:t>
      </w:r>
    </w:p>
    <w:p>
      <w:pPr>
        <w:pStyle w:val="SectionBody"/>
      </w:pPr>
      <w:r>
        <w:rPr/>
        <w:t xml:space="preserve">In Codex Sinaiticus, Revelation 16:18 reads: βρονταὶ καὶ ἀστραπαὶ καὶ φωναὶ καὶ βρονταί — “thunders and lightnings and voices and thunders.” The asterisk indicates that Sinaiticus has a duplicate thunder term, so this reading is not a simple three-item rearrangement such as L–V–T, T–V–L, or V–T–L. It effectively “frames” the sequence with thunder at both ends.</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81"/>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82"/>
      </w:r>
      <w:r>
        <w:rPr/>
        <w:t xml:space="preserve">. </w:t>
      </w:r>
      <w:r>
        <w:rPr>
          <w:rStyle w:val="FootnoteReference"/>
        </w:rPr>
        <w:footnoteReference w:id="183"/>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84"/>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85"/>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w:t>
      </w:r>
      <w:r>
        <w:rPr>
          <w:b w:val="1"/>
          <w:bCs w:val="1"/>
        </w:rPr>
        <w:t xml:space="preserve">flying</w:t>
      </w:r>
      <w:r>
        <w:rPr/>
        <w:t xml:space="preserve"> </w:t>
      </w:r>
      <w:r>
        <w:rPr>
          <w:rStyle w:val="FootnoteReference"/>
        </w:rPr>
        <w:footnoteReference w:id="186"/>
      </w:r>
      <w:r>
        <w:rPr/>
        <w:t xml:space="preserve">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87"/>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88"/>
      </w:r>
      <w:r>
        <w:rPr/>
        <w:t xml:space="preserve">, Lord God </w:t>
      </w:r>
      <w:r>
        <w:rPr>
          <w:b w:val="1"/>
          <w:bCs w:val="1"/>
        </w:rPr>
        <w:t xml:space="preserve">Almighty, who was and is and is to come</w:t>
      </w:r>
      <w:r>
        <w:rPr/>
        <w:t xml:space="preserve"> </w:t>
      </w:r>
      <w:r>
        <w:rPr>
          <w:rStyle w:val="FootnoteReference"/>
        </w:rPr>
        <w:footnoteReference w:id="189"/>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90"/>
      </w:r>
      <w:r>
        <w:rPr/>
        <w:t xml:space="preserve"> give glory and honor and thanks to him who sat on the throne, who </w:t>
      </w:r>
      <w:r>
        <w:rPr>
          <w:b w:val="1"/>
          <w:bCs w:val="1"/>
        </w:rPr>
        <w:t xml:space="preserve">lives unto the ages of the ages</w:t>
      </w:r>
      <w:r>
        <w:rPr/>
        <w:t xml:space="preserve"> </w:t>
      </w:r>
      <w:r>
        <w:rPr>
          <w:rStyle w:val="FootnoteReference"/>
        </w:rPr>
        <w:footnoteReference w:id="191"/>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92"/>
      </w:r>
      <w:r>
        <w:rPr/>
        <w:t xml:space="preserve"> fall down before him who sat on the throne, and worship him who </w:t>
      </w:r>
      <w:r>
        <w:rPr>
          <w:b w:val="1"/>
          <w:bCs w:val="1"/>
        </w:rPr>
        <w:t xml:space="preserve">lives unto the ages of the ages</w:t>
      </w:r>
      <w:r>
        <w:rPr/>
        <w:t xml:space="preserve"> </w:t>
      </w:r>
      <w:r>
        <w:rPr>
          <w:rStyle w:val="FootnoteReference"/>
        </w:rPr>
        <w:footnoteReference w:id="193"/>
      </w:r>
      <w:r>
        <w:rPr/>
        <w:t xml:space="preserve">, and cast their </w:t>
      </w:r>
      <w:r>
        <w:rPr>
          <w:b w:val="1"/>
          <w:bCs w:val="1"/>
        </w:rPr>
        <w:t xml:space="preserve">crowns</w:t>
      </w:r>
      <w:r>
        <w:rPr/>
        <w:t xml:space="preserve"> </w:t>
      </w:r>
      <w:r>
        <w:rPr>
          <w:rStyle w:val="FootnoteReference"/>
        </w:rPr>
        <w:footnoteReference w:id="194"/>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95"/>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96"/>
      </w:r>
      <w:r>
        <w:rPr/>
        <w:t xml:space="preserve"> of him that sat on the throne a </w:t>
      </w:r>
      <w:r>
        <w:rPr>
          <w:b w:val="1"/>
          <w:bCs w:val="1"/>
        </w:rPr>
        <w:t xml:space="preserve">book</w:t>
      </w:r>
      <w:r>
        <w:rPr/>
        <w:t xml:space="preserve"> </w:t>
      </w:r>
      <w:r>
        <w:rPr>
          <w:rStyle w:val="FootnoteReference"/>
        </w:rPr>
        <w:footnoteReference w:id="197"/>
      </w:r>
      <w:r>
        <w:rPr/>
        <w:t xml:space="preserve"> written within and on the backside, sealed with seven </w:t>
      </w:r>
      <w:r>
        <w:rPr>
          <w:b w:val="1"/>
          <w:bCs w:val="1"/>
        </w:rPr>
        <w:t xml:space="preserve">seals</w:t>
      </w:r>
      <w:r>
        <w:rPr/>
        <w:t xml:space="preserve"> </w:t>
      </w:r>
      <w:r>
        <w:rPr>
          <w:rStyle w:val="FootnoteReference"/>
        </w:rPr>
        <w:footnoteReference w:id="198"/>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mighty messenger proclaiming with a great voice, Who is worthy to open the </w:t>
      </w:r>
      <w:r>
        <w:rPr>
          <w:b w:val="1"/>
          <w:bCs w:val="1"/>
        </w:rPr>
        <w:t xml:space="preserve">book</w:t>
      </w:r>
      <w:r>
        <w:rPr/>
        <w:t xml:space="preserve"> </w:t>
      </w:r>
      <w:r>
        <w:rPr>
          <w:rStyle w:val="FootnoteReference"/>
        </w:rPr>
        <w:footnoteReference w:id="199"/>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200"/>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201"/>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202"/>
      </w:r>
      <w:r>
        <w:rPr/>
        <w:t xml:space="preserve">, Weep not: behold, the </w:t>
      </w:r>
      <w:r>
        <w:rPr>
          <w:b w:val="1"/>
          <w:bCs w:val="1"/>
        </w:rPr>
        <w:t xml:space="preserve">Lion</w:t>
      </w:r>
      <w:r>
        <w:rPr/>
        <w:t xml:space="preserve"> </w:t>
      </w:r>
      <w:r>
        <w:rPr>
          <w:rStyle w:val="FootnoteReference"/>
        </w:rPr>
        <w:footnoteReference w:id="203"/>
      </w:r>
      <w:r>
        <w:rPr/>
        <w:t xml:space="preserve"> of the tribe of Judah, the </w:t>
      </w:r>
      <w:r>
        <w:rPr>
          <w:b w:val="1"/>
          <w:bCs w:val="1"/>
        </w:rPr>
        <w:t xml:space="preserve">Root of David</w:t>
      </w:r>
      <w:r>
        <w:rPr/>
        <w:t xml:space="preserve"> </w:t>
      </w:r>
      <w:r>
        <w:rPr>
          <w:rStyle w:val="FootnoteReference"/>
        </w:rPr>
        <w:footnoteReference w:id="204"/>
      </w:r>
      <w:r>
        <w:rPr/>
        <w:t xml:space="preserve">, has </w:t>
      </w:r>
      <w:r>
        <w:rPr>
          <w:b w:val="1"/>
          <w:bCs w:val="1"/>
        </w:rPr>
        <w:t xml:space="preserve">overcome</w:t>
      </w:r>
      <w:r>
        <w:rPr>
          <w:rStyle w:val="FootnoteReference"/>
        </w:rPr>
        <w:footnoteReference w:id="205"/>
      </w:r>
      <w:r>
        <w:rPr/>
        <w:t xml:space="preserve"> so as to open the </w:t>
      </w:r>
      <w:r>
        <w:rPr>
          <w:b w:val="1"/>
          <w:bCs w:val="1"/>
        </w:rPr>
        <w:t xml:space="preserve">book</w:t>
      </w:r>
      <w:r>
        <w:rPr/>
        <w:t xml:space="preserve"> </w:t>
      </w:r>
      <w:r>
        <w:rPr>
          <w:rStyle w:val="FootnoteReference"/>
        </w:rPr>
        <w:footnoteReference w:id="206"/>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207"/>
      </w:r>
      <w:r>
        <w:rPr/>
        <w:t xml:space="preserve">, and in the midst of the </w:t>
      </w:r>
      <w:r>
        <w:rPr>
          <w:b w:val="1"/>
          <w:bCs w:val="1"/>
        </w:rPr>
        <w:t xml:space="preserve">elders</w:t>
      </w:r>
      <w:r>
        <w:rPr/>
        <w:t xml:space="preserve"> </w:t>
      </w:r>
      <w:r>
        <w:rPr>
          <w:rStyle w:val="FootnoteReference"/>
        </w:rPr>
        <w:footnoteReference w:id="208"/>
      </w:r>
      <w:r>
        <w:rPr/>
        <w:t xml:space="preserve">, </w:t>
      </w:r>
      <w:r>
        <w:rPr>
          <w:b w:val="1"/>
          <w:bCs w:val="1"/>
        </w:rPr>
        <w:t xml:space="preserve">stood a Lamb</w:t>
      </w:r>
      <w:r>
        <w:rPr/>
        <w:t xml:space="preserve"> </w:t>
      </w:r>
      <w:r>
        <w:rPr>
          <w:rStyle w:val="FootnoteReference"/>
        </w:rPr>
        <w:footnoteReference w:id="209"/>
      </w:r>
      <w:r>
        <w:rPr/>
        <w:t xml:space="preserve"> as it had been </w:t>
      </w:r>
      <w:r>
        <w:rPr>
          <w:b w:val="1"/>
          <w:bCs w:val="1"/>
        </w:rPr>
        <w:t xml:space="preserve">slain</w:t>
      </w:r>
      <w:r>
        <w:rPr/>
        <w:t xml:space="preserve"> </w:t>
      </w:r>
      <w:r>
        <w:rPr>
          <w:rStyle w:val="FootnoteReference"/>
        </w:rPr>
        <w:footnoteReference w:id="210"/>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211"/>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212"/>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213"/>
      </w:r>
      <w:r>
        <w:rPr/>
        <w:t xml:space="preserve">, the four </w:t>
      </w:r>
      <w:r>
        <w:rPr>
          <w:b w:val="1"/>
          <w:bCs w:val="1"/>
        </w:rPr>
        <w:t xml:space="preserve">beasts</w:t>
      </w:r>
      <w:r>
        <w:rPr/>
        <w:t xml:space="preserve"> </w:t>
      </w:r>
      <w:r>
        <w:rPr>
          <w:rStyle w:val="FootnoteReference"/>
        </w:rPr>
        <w:footnoteReference w:id="214"/>
      </w:r>
      <w:r>
        <w:rPr/>
        <w:t xml:space="preserve"> and four and twenty </w:t>
      </w:r>
      <w:r>
        <w:rPr>
          <w:b w:val="1"/>
          <w:bCs w:val="1"/>
        </w:rPr>
        <w:t xml:space="preserve">elders</w:t>
      </w:r>
      <w:r>
        <w:rPr/>
        <w:t xml:space="preserve"> </w:t>
      </w:r>
      <w:r>
        <w:rPr>
          <w:rStyle w:val="FootnoteReference"/>
        </w:rPr>
        <w:footnoteReference w:id="215"/>
      </w:r>
      <w:r>
        <w:rPr/>
        <w:t xml:space="preserve"> fell down before the Lamb, having every one of them </w:t>
      </w:r>
      <w:r>
        <w:rPr>
          <w:b w:val="1"/>
          <w:bCs w:val="1"/>
        </w:rPr>
        <w:t xml:space="preserve">harps</w:t>
      </w:r>
      <w:r>
        <w:rPr/>
        <w:t xml:space="preserve"> </w:t>
      </w:r>
      <w:r>
        <w:rPr>
          <w:rStyle w:val="FootnoteReference"/>
        </w:rPr>
        <w:footnoteReference w:id="216"/>
      </w:r>
      <w:r>
        <w:rPr/>
        <w:t xml:space="preserve">, and golden vials full of odours, which are the </w:t>
      </w:r>
      <w:r>
        <w:rPr>
          <w:b w:val="1"/>
          <w:bCs w:val="1"/>
        </w:rPr>
        <w:t xml:space="preserve">prayers of saints</w:t>
      </w:r>
      <w:r>
        <w:rPr/>
        <w:t xml:space="preserve"> </w:t>
      </w:r>
      <w:r>
        <w:rPr>
          <w:rStyle w:val="FootnoteReference"/>
        </w:rPr>
        <w:footnoteReference w:id="217"/>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218"/>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219"/>
      </w:r>
      <w:r>
        <w:rPr/>
        <w:t xml:space="preserve">, and to open the seals thereof: for you were </w:t>
      </w:r>
      <w:r>
        <w:rPr>
          <w:b w:val="1"/>
          <w:bCs w:val="1"/>
        </w:rPr>
        <w:t xml:space="preserve">slain</w:t>
      </w:r>
      <w:r>
        <w:rPr/>
        <w:t xml:space="preserve"> </w:t>
      </w:r>
      <w:r>
        <w:rPr>
          <w:rStyle w:val="FootnoteReference"/>
        </w:rPr>
        <w:footnoteReference w:id="220"/>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21"/>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22"/>
      </w:r>
      <w:r>
        <w:rPr/>
        <w:t xml:space="preserve"> out of every </w:t>
      </w:r>
      <w:r>
        <w:rPr>
          <w:b w:val="1"/>
          <w:bCs w:val="1"/>
        </w:rPr>
        <w:t xml:space="preserve">kindred, and tongue, and people, and nation</w:t>
      </w:r>
      <w:r>
        <w:rPr/>
        <w:t xml:space="preserve"> </w:t>
      </w:r>
      <w:r>
        <w:rPr>
          <w:rStyle w:val="FootnoteReference"/>
        </w:rPr>
        <w:footnoteReference w:id="223"/>
      </w:r>
      <w:r>
        <w:rPr/>
        <w:t xml:space="preserve"> </w:t>
      </w:r>
      <w:r>
        <w:rPr>
          <w:color w:val="4A6FA5"/>
          <w:sz w:val="18"/>
          <w:szCs w:val="18"/>
        </w:rPr>
        <w:t xml:space="preserve"> (im</w:t>
      </w:r>
      <w:r>
        <w:rPr>
          <w:rStyle w:val="FootnoteReference"/>
        </w:rPr>
        <w:footnoteReference w:id="224"/>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jc w:val="left"/>
        <w:ind w:left="360" w:right="0" w:firstLine="0" w:hanging="0"/>
        <w:spacing w:after="60"/>
      </w:pPr>
      <w:r>
        <w:rPr>
          <w:sz w:val="18"/>
          <w:szCs w:val="18"/>
          <w:i w:val="1"/>
          <w:iCs w:val="1"/>
        </w:rPr>
        <w:t xml:space="preserve">[fn] The bracketed rendering [people] reflects a textual variation in Revelation 5:9, where, in some manuscripts, it reads "us," with "people" omitted entirely. Some Greek witnesses include the first-person pronoun ἡμᾶς (“us”), yielding the sense “you purchased us for God,” while other witnesses omit the pronoun. When the pronoun is omitted, “people” is not a separate Greek word replacing “us”; it is supplied (added) in English from the following phrase, “from every tribe and language and people and nation.” The variations with "us" may reflect that ἡμᾶς was original and preserved, even though the pronoun creates a difficult reading in the mouths of the singers. It is also possible that ἡμᾶς was originally a marginal note, or that it was added because the absence of an explicit object seemed incomplete. 
In terms of the oddity it creates for the singers, songs, and heavenly choruses in Revelation should be handled carefully, since their wording may not identify every singer in the same direct way as ordinary narrative dialogue. In other words, a song may be sung by individuals who are not themselves the subject of the song. In this case, the four living creatures do not appear to be the likely referent of the possible “us,” though the twenty-four elders may be.</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25"/>
      </w:r>
      <w:r>
        <w:rPr/>
        <w:t xml:space="preserve"> </w:t>
      </w:r>
      <w:r>
        <w:rPr>
          <w:rStyle w:val="FootnoteReference"/>
        </w:rPr>
        <w:footnoteReference w:id="226"/>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27"/>
      </w:r>
      <w:r>
        <w:rPr>
          <w:color w:val="4A6FA5"/>
          <w:sz w:val="18"/>
          <w:szCs w:val="18"/>
        </w:rPr>
        <w:t xml:space="preserve">) </w:t>
      </w:r>
      <w:r>
        <w:rPr/>
        <w:t xml:space="preserve"> </w:t>
      </w:r>
      <w:r>
        <w:rPr>
          <w:rStyle w:val="FootnoteReference"/>
        </w:rPr>
        <w:footnoteReference w:id="228"/>
      </w:r>
      <w:r>
        <w:rPr/>
        <w:t xml:space="preserve"> and the beasts and the </w:t>
      </w:r>
      <w:r>
        <w:rPr>
          <w:b w:val="1"/>
          <w:bCs w:val="1"/>
        </w:rPr>
        <w:t xml:space="preserve">elders</w:t>
      </w:r>
      <w:r>
        <w:rPr/>
        <w:t xml:space="preserve"> </w:t>
      </w:r>
      <w:r>
        <w:rPr>
          <w:rStyle w:val="FootnoteReference"/>
        </w:rPr>
        <w:footnoteReference w:id="229"/>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30"/>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31"/>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32"/>
      </w:r>
      <w:r>
        <w:rPr>
          <w:color w:val="4A6FA5"/>
          <w:sz w:val="18"/>
          <w:szCs w:val="18"/>
        </w:rPr>
        <w:t xml:space="preserve">) </w:t>
      </w:r>
      <w:r>
        <w:rPr/>
        <w:t xml:space="preserve"> </w:t>
      </w:r>
      <w:r>
        <w:rPr>
          <w:rStyle w:val="FootnoteReference"/>
        </w:rPr>
        <w:footnoteReference w:id="233"/>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34"/>
      </w:r>
      <w:r>
        <w:rPr/>
        <w:t xml:space="preserve"> </w:t>
      </w:r>
      <w:r>
        <w:rPr>
          <w:rStyle w:val="FootnoteReference"/>
        </w:rPr>
        <w:footnoteReference w:id="235"/>
      </w:r>
      <w:r>
        <w:rPr/>
        <w:t xml:space="preserve"> </w:t>
      </w:r>
      <w:r>
        <w:rPr>
          <w:rStyle w:val="FootnoteReference"/>
        </w:rPr>
        <w:footnoteReference w:id="236"/>
      </w:r>
      <w:r>
        <w:rPr/>
        <w:t xml:space="preserve">, heard I saying, Unto him who sits upon the throne, and unto the Lamb be blessing, and honor, and </w:t>
      </w:r>
      <w:r>
        <w:rPr>
          <w:b w:val="1"/>
          <w:bCs w:val="1"/>
        </w:rPr>
        <w:t xml:space="preserve">glory, and dominion unto the ages of the ages</w:t>
      </w:r>
      <w:r>
        <w:rPr/>
        <w:t xml:space="preserve"> </w:t>
      </w:r>
      <w:r>
        <w:rPr>
          <w:rStyle w:val="FootnoteReference"/>
        </w:rPr>
        <w:footnoteReference w:id="237"/>
      </w:r>
      <w:r>
        <w:rPr/>
        <w:t xml:space="preserve">.</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38"/>
      </w:r>
      <w:r>
        <w:rPr/>
        <w:t xml:space="preserve"> said, Amen. And the four and twenty </w:t>
      </w:r>
      <w:r>
        <w:rPr>
          <w:b w:val="1"/>
          <w:bCs w:val="1"/>
        </w:rPr>
        <w:t xml:space="preserve">elders</w:t>
      </w:r>
      <w:r>
        <w:rPr/>
        <w:t xml:space="preserve"> </w:t>
      </w:r>
      <w:r>
        <w:rPr>
          <w:rStyle w:val="FootnoteReference"/>
        </w:rPr>
        <w:footnoteReference w:id="239"/>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40"/>
      </w:r>
      <w:r>
        <w:rPr/>
        <w:t xml:space="preserve"> </w:t>
      </w:r>
      <w:r>
        <w:rPr>
          <w:color w:val="4A6FA5"/>
          <w:sz w:val="18"/>
          <w:szCs w:val="18"/>
        </w:rPr>
        <w:t xml:space="preserve"> (4m4w</w:t>
      </w:r>
      <w:r>
        <w:rPr>
          <w:rStyle w:val="FootnoteReference"/>
        </w:rPr>
        <w:footnoteReference w:id="241"/>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42"/>
      </w:r>
      <w:r>
        <w:rPr/>
        <w:t xml:space="preserve">, </w:t>
      </w:r>
      <w:r>
        <w:rPr>
          <w:b w:val="1"/>
          <w:bCs w:val="1"/>
        </w:rPr>
        <w:t xml:space="preserve">Come</w:t>
      </w:r>
      <w:r>
        <w:rPr/>
        <w:t xml:space="preserve"> </w:t>
      </w:r>
      <w:r>
        <w:rPr/>
        <w:t xml:space="preserve">  </w:t>
      </w:r>
      <w:r>
        <w:rPr>
          <w:rStyle w:val="FootnoteReference"/>
        </w:rPr>
        <w:footnoteReference w:id="243"/>
      </w:r>
      <w:r>
        <w:rPr/>
        <w:t xml:space="preserve"> </w:t>
      </w:r>
      <w:r>
        <w:rPr>
          <w:rStyle w:val="FootnoteReference"/>
        </w:rPr>
        <w:footnoteReference w:id="244"/>
      </w:r>
      <w:r>
        <w:rPr/>
        <w:t xml:space="preserve"> </w:t>
      </w:r>
      <w:r>
        <w:rPr>
          <w:color w:val="4A6FA5"/>
          <w:sz w:val="18"/>
          <w:szCs w:val="18"/>
        </w:rPr>
        <w:t xml:space="preserve"> (4m4w</w:t>
      </w:r>
      <w:r>
        <w:rPr>
          <w:rStyle w:val="FootnoteReference"/>
        </w:rPr>
        <w:footnoteReference w:id="245"/>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While the original Greek manuscripts lack verses and chapters, we see the same cadence in each horseman, which comes through in Greek and is reflected in the verse counts of our current editions. That cadence is: two verses per horseman. This is another example of Revelation's high level of structure overall.</w:t>
      </w:r>
    </w:p>
    <w:p>
      <w:pPr>
        <w:jc w:val="left"/>
        <w:ind w:left="360" w:right="0" w:firstLine="0" w:hanging="0"/>
        <w:spacing w:after="60"/>
      </w:pPr>
      <w:r>
        <w:rPr>
          <w:sz w:val="18"/>
          <w:szCs w:val="18"/>
          <w:i w:val="1"/>
          <w:iCs w:val="1"/>
        </w:rPr>
        <w:t xml:space="preserve">[fn] Zechariah 6:1-8 may provide an important Old Testament background for the horsemen in Revelation 6. In Zechariah, the prophet sees four chariots drawn by colored horses, and the angel identifies them as “the four spirits of the heavens” going out from before “the Lord of all the earth” (Zechariah 6:5, KJV). The Hebrew word is רוּחַ, which can be translated as spirit, wind, or breath. So Zechariah’s horse/chariot vision already carries both horse imagery and wind/spirit language.
This matters when reading Revelation 6 and 7 together. Revelation 6 presents four horsemen in an opening judgment sequence. Then Revelation 7 shows four angels at the four corners of the earth holding back the four winds of the earth, so that the wind does not blow on the earth, the sea, or any tree. These may be literal winds, but they are also restrained by heavenly agents in a judgment setting.
Zechariah also connects the horse/chariot movement to the settling of God’s displeasure. After the horses go out, the Lord says those going toward the north country “have quieted my spirit” (Zechariah 6:8, KJV). The Hebrew phrase is הֵנִיחוּ אֶת־רוּחִי, meaning “they have caused my spirit to rest,” which the NASB renders as “have appeased My wrath.” That rendering is interpretive, but it shows the contextual force of the passage: the horse/chariot agents are connected with divine judgment and the settling of God’s wrath.
So we should not ignore the shared pattern. Zechariah 6 brings together four horse-related agents, wind/spirit language, directional movement, worldwide scope, and God’s wrath/displeasure. Revelation 6-7 brings together four horsemen, four angels, four corners of the earth, four winds, worldwide harm, and divine restraint before judgment is released. This does not require the horsemen of Revelation 6 to be identical to the four winds of Revelation 7, but it does make the connection meaningful. The horsemen may be understood as part of the opening movement of God’s judgment, with Revelation 7 showing that even the winds connected to that judgment remain under God’s authority until His servants are sealed.</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46"/>
      </w:r>
      <w:r>
        <w:rPr/>
        <w:t xml:space="preserve"> </w:t>
      </w:r>
      <w:r>
        <w:rPr>
          <w:color w:val="4A6FA5"/>
          <w:sz w:val="18"/>
          <w:szCs w:val="18"/>
        </w:rPr>
        <w:t xml:space="preserve"> (4m4w</w:t>
      </w:r>
      <w:r>
        <w:rPr>
          <w:rStyle w:val="FootnoteReference"/>
        </w:rPr>
        <w:footnoteReference w:id="247"/>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48"/>
      </w:r>
      <w:r>
        <w:rPr/>
        <w:t xml:space="preserve"> </w:t>
      </w:r>
      <w:r>
        <w:rPr>
          <w:color w:val="4A6FA5"/>
          <w:sz w:val="18"/>
          <w:szCs w:val="18"/>
        </w:rPr>
        <w:t xml:space="preserve"> (4m4w</w:t>
      </w:r>
      <w:r>
        <w:rPr>
          <w:rStyle w:val="FootnoteReference"/>
        </w:rPr>
        <w:footnoteReference w:id="249"/>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50"/>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51"/>
      </w:r>
      <w:r>
        <w:rPr/>
        <w:t xml:space="preserve"> </w:t>
      </w:r>
      <w:r>
        <w:rPr>
          <w:color w:val="4A6FA5"/>
          <w:sz w:val="18"/>
          <w:szCs w:val="18"/>
        </w:rPr>
        <w:t xml:space="preserve"> (4m4w</w:t>
      </w:r>
      <w:r>
        <w:rPr>
          <w:rStyle w:val="FootnoteReference"/>
        </w:rPr>
        <w:footnoteReference w:id="252"/>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53"/>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54"/>
      </w:r>
      <w:r>
        <w:rPr/>
        <w:t xml:space="preserve"> </w:t>
      </w:r>
      <w:r>
        <w:rPr>
          <w:rStyle w:val="FootnoteReference"/>
        </w:rPr>
        <w:footnoteReference w:id="255"/>
      </w:r>
      <w:r>
        <w:rPr/>
        <w:t xml:space="preserve"> who were slain for the word of God, and for the </w:t>
      </w:r>
      <w:r>
        <w:rPr>
          <w:b w:val="1"/>
          <w:bCs w:val="1"/>
        </w:rPr>
        <w:t xml:space="preserve">testimony which they held</w:t>
      </w:r>
      <w:r>
        <w:rPr/>
        <w:t xml:space="preserve"> </w:t>
      </w:r>
      <w:r>
        <w:rPr>
          <w:rStyle w:val="FootnoteReference"/>
        </w:rPr>
        <w:footnoteReference w:id="256"/>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57"/>
      </w:r>
      <w:r>
        <w:rPr>
          <w:color w:val="4A6FA5"/>
          <w:sz w:val="18"/>
          <w:szCs w:val="18"/>
        </w:rPr>
        <w:t xml:space="preserve">) </w:t>
      </w:r>
      <w:r>
        <w:rPr/>
        <w:t xml:space="preserve"> </w:t>
      </w:r>
      <w:r>
        <w:rPr>
          <w:rStyle w:val="FootnoteReference"/>
        </w:rPr>
        <w:footnoteReference w:id="258"/>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59"/>
      </w:r>
      <w:r>
        <w:rPr/>
        <w:t xml:space="preserve">; and it was </w:t>
      </w:r>
      <w:r>
        <w:rPr>
          <w:b w:val="1"/>
          <w:bCs w:val="1"/>
        </w:rPr>
        <w:t xml:space="preserve">said unto them</w:t>
      </w:r>
      <w:r>
        <w:rPr/>
        <w:t xml:space="preserve"> </w:t>
      </w:r>
      <w:r>
        <w:rPr>
          <w:rStyle w:val="FootnoteReference"/>
        </w:rPr>
        <w:footnoteReference w:id="260"/>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61"/>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62"/>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63"/>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64"/>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65"/>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mighty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jc w:val="left"/>
        <w:ind w:left="360" w:right="0" w:firstLine="0" w:hanging="0"/>
        <w:spacing w:after="60"/>
      </w:pPr>
      <w:r>
        <w:rPr>
          <w:sz w:val="18"/>
          <w:szCs w:val="18"/>
          <w:i w:val="1"/>
          <w:iCs w:val="1"/>
        </w:rPr>
        <w:t xml:space="preserve">[fn] δοῦλος — servants or bond-servant  — Is not used exclusively for saints in Revelation, so when we see this word used later in Revelation 6:15 it does not imply that the bond-servants of Jesus are present at that moment, to make such a claim, other support needs to be supplied, of which this study has not found enough through exegesis to make that claim. Meaning, in Revelation 6:15, we can not interpret the bond-servant in that verse as being saints going through the tribulation.</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66"/>
      </w:r>
      <w:r>
        <w:rPr/>
        <w:t xml:space="preserve"> </w:t>
      </w:r>
      <w:r>
        <w:rPr>
          <w:rStyle w:val="FootnoteReference"/>
        </w:rPr>
        <w:footnoteReference w:id="267"/>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68"/>
      </w:r>
      <w:r>
        <w:rPr/>
        <w:t xml:space="preserve"> of their </w:t>
      </w:r>
      <w:r>
        <w:rPr>
          <w:b w:val="1"/>
          <w:bCs w:val="1"/>
        </w:rPr>
        <w:t xml:space="preserve">wrath is come</w:t>
      </w:r>
      <w:r>
        <w:rPr/>
        <w:t xml:space="preserve"> </w:t>
      </w:r>
      <w:r>
        <w:rPr>
          <w:rStyle w:val="FootnoteReference"/>
        </w:rPr>
        <w:footnoteReference w:id="269"/>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After these things, I saw </w:t>
      </w:r>
      <w:r>
        <w:rPr>
          <w:b w:val="1"/>
          <w:bCs w:val="1"/>
        </w:rPr>
        <w:t xml:space="preserve">four messengers</w:t>
      </w:r>
      <w:r>
        <w:rPr/>
        <w:t xml:space="preserve"> </w:t>
      </w:r>
      <w:r>
        <w:rPr>
          <w:rStyle w:val="FootnoteReference"/>
        </w:rPr>
        <w:footnoteReference w:id="270"/>
      </w:r>
      <w:r>
        <w:rPr/>
        <w:t xml:space="preserve"> </w:t>
      </w:r>
      <w:r>
        <w:rPr>
          <w:color w:val="4A6FA5"/>
          <w:sz w:val="18"/>
          <w:szCs w:val="18"/>
        </w:rPr>
        <w:t xml:space="preserve"> (4m4w</w:t>
      </w:r>
      <w:r>
        <w:rPr>
          <w:rStyle w:val="FootnoteReference"/>
        </w:rPr>
        <w:footnoteReference w:id="271"/>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72"/>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73"/>
      </w:r>
      <w:r>
        <w:rPr>
          <w:color w:val="4A6FA5"/>
          <w:sz w:val="18"/>
          <w:szCs w:val="18"/>
        </w:rPr>
        <w:t xml:space="preserve">) </w:t>
      </w:r>
      <w:r>
        <w:rPr/>
        <w:t xml:space="preserve"> </w:t>
      </w:r>
      <w:r>
        <w:rPr>
          <w:rStyle w:val="FootnoteReference"/>
        </w:rPr>
        <w:footnoteReference w:id="274"/>
      </w:r>
      <w:r>
        <w:rPr/>
        <w:t xml:space="preserve"> </w:t>
      </w:r>
      <w:r>
        <w:rPr>
          <w:rStyle w:val="FootnoteReference"/>
        </w:rPr>
        <w:footnoteReference w:id="275"/>
      </w:r>
      <w:r>
        <w:rPr/>
        <w:t xml:space="preserve">: and he cried with a great voice to the </w:t>
      </w:r>
      <w:r>
        <w:rPr>
          <w:b w:val="1"/>
          <w:bCs w:val="1"/>
        </w:rPr>
        <w:t xml:space="preserve">four messengers</w:t>
      </w:r>
      <w:r>
        <w:rPr/>
        <w:t xml:space="preserve"> </w:t>
      </w:r>
      <w:r>
        <w:rPr>
          <w:rStyle w:val="FootnoteReference"/>
        </w:rPr>
        <w:footnoteReference w:id="276"/>
      </w:r>
      <w:r>
        <w:rPr/>
        <w:t xml:space="preserve"> </w:t>
      </w:r>
      <w:r>
        <w:rPr>
          <w:rStyle w:val="FootnoteReference"/>
        </w:rPr>
        <w:footnoteReference w:id="277"/>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78"/>
      </w:r>
      <w:r>
        <w:rPr/>
        <w:t xml:space="preserve"> </w:t>
      </w:r>
      <w:r>
        <w:rPr>
          <w:rStyle w:val="FootnoteReference"/>
        </w:rPr>
        <w:footnoteReference w:id="279"/>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80"/>
      </w:r>
      <w:r>
        <w:rPr>
          <w:color w:val="4A6FA5"/>
          <w:sz w:val="18"/>
          <w:szCs w:val="18"/>
        </w:rPr>
        <w:t xml:space="preserve">) </w:t>
      </w:r>
      <w:r>
        <w:rPr/>
        <w:t xml:space="preserve"> </w:t>
      </w:r>
      <w:r>
        <w:rPr>
          <w:rStyle w:val="FootnoteReference"/>
        </w:rPr>
        <w:footnoteReference w:id="281"/>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jc w:val="center"/>
        <w:spacing w:before="120" w:after="60"/>
      </w:pPr>
      <w:r>
        <w:rPr>
          <w:sz w:val="36"/>
          <w:szCs w:val="36"/>
          <w:b w:val="1"/>
          <w:bCs w:val="1"/>
        </w:rPr>
        <w:t xml:space="preserve">✶</w:t>
      </w:r>
    </w:p>
    <w:p>
      <w:pPr>
        <w:pStyle w:val="Heading3"/>
      </w:pPr>
      <w:bookmarkStart w:id="35" w:name="_Toc35"/>
      <w:r>
        <w:t>Immense Multitude Come Out of Great Tribulation</w:t>
      </w:r>
      <w:bookmarkEnd w:id="35"/>
    </w:p>
    <w:p>
      <w:pPr>
        <w:pStyle w:val="SectionBody"/>
      </w:pPr>
      <w:r>
        <w:rPr>
          <w:b w:val="1"/>
          <w:bCs w:val="1"/>
        </w:rPr>
        <w:t xml:space="preserve">Parenthetical Scene 1.2:</w:t>
      </w:r>
      <w:r>
        <w:rPr/>
        <w:t xml:space="preserve"> This mirrors Revelation 19:1-5. A great multitude of many saying, "Salvation, glory, honor, power, unto our God." As we read Revelation 7:9-12, it is very possible that the angels in 7:11 are the same group described in Revelation 5:11. It is also important to understand that Revelation 7:9-17 may not be telescoping into the far future; rather, it may show that the two groups—the 144,000 and the great multitude—are being shown together near the same time right ater the sealing of the 144,000. With this next group coming after 144,000 are sealed. In biblical studies, telescoping refers to the compression of events that occur at different times into a single scene, making them appear simultaneous even though they unfold separately in history. Again, telescoping is an interpretive decision in Revelation 7, and telescoping is not required by the text on its own.</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82"/>
      </w:r>
      <w:r>
        <w:rPr/>
        <w:t xml:space="preserve"> </w:t>
      </w:r>
      <w:r>
        <w:rPr>
          <w:color w:val="4A6FA5"/>
          <w:sz w:val="18"/>
          <w:szCs w:val="18"/>
        </w:rPr>
        <w:t xml:space="preserve"> (im</w:t>
      </w:r>
      <w:r>
        <w:rPr>
          <w:rStyle w:val="FootnoteReference"/>
        </w:rPr>
        <w:footnoteReference w:id="283"/>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84"/>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85"/>
      </w:r>
      <w:r>
        <w:rPr/>
        <w:t xml:space="preserve">, and </w:t>
      </w:r>
      <w:r>
        <w:rPr>
          <w:b w:val="1"/>
          <w:bCs w:val="1"/>
        </w:rPr>
        <w:t xml:space="preserve">palms in their hands;</w:t>
      </w:r>
      <w:r>
        <w:rPr/>
        <w:t xml:space="preserve"> </w:t>
      </w:r>
      <w:r>
        <w:rPr>
          <w:rStyle w:val="FootnoteReference"/>
        </w:rPr>
        <w:footnoteReference w:id="286"/>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87"/>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88"/>
      </w:r>
      <w:r>
        <w:rPr>
          <w:color w:val="4A6FA5"/>
          <w:sz w:val="18"/>
          <w:szCs w:val="18"/>
        </w:rPr>
        <w:t xml:space="preserve">) </w:t>
      </w:r>
      <w:r>
        <w:rPr/>
        <w:t xml:space="preserve"> </w:t>
      </w:r>
      <w:r>
        <w:rPr>
          <w:rStyle w:val="FootnoteReference"/>
        </w:rPr>
        <w:footnoteReference w:id="289"/>
      </w:r>
      <w:r>
        <w:rPr/>
        <w:t xml:space="preserve"> and </w:t>
      </w:r>
      <w:r>
        <w:rPr/>
        <w:t xml:space="preserve"> the </w:t>
      </w:r>
      <w:r>
        <w:rPr>
          <w:b w:val="1"/>
          <w:bCs w:val="1"/>
        </w:rPr>
        <w:t xml:space="preserve">elders</w:t>
      </w:r>
      <w:r>
        <w:rPr/>
        <w:t xml:space="preserve"> </w:t>
      </w:r>
      <w:r>
        <w:rPr>
          <w:rStyle w:val="FootnoteReference"/>
        </w:rPr>
        <w:footnoteReference w:id="290"/>
      </w:r>
      <w:r>
        <w:rPr/>
        <w:t xml:space="preserve"> and the four </w:t>
      </w:r>
      <w:r>
        <w:rPr>
          <w:b w:val="1"/>
          <w:bCs w:val="1"/>
        </w:rPr>
        <w:t xml:space="preserve">beasts</w:t>
      </w:r>
      <w:r>
        <w:rPr/>
        <w:t xml:space="preserve"> </w:t>
      </w:r>
      <w:r>
        <w:rPr>
          <w:rStyle w:val="FootnoteReference"/>
        </w:rPr>
        <w:footnoteReference w:id="291"/>
      </w:r>
      <w:r>
        <w:rPr/>
        <w:t xml:space="preserve">, and </w:t>
      </w:r>
      <w:r>
        <w:rPr>
          <w:b w:val="1"/>
          <w:bCs w:val="1"/>
        </w:rPr>
        <w:t xml:space="preserve">fell before the throne on their faces, and worshipped God,</w:t>
      </w:r>
      <w:r>
        <w:rPr/>
        <w:t xml:space="preserve"> </w:t>
      </w:r>
      <w:r>
        <w:rPr>
          <w:rStyle w:val="FootnoteReference"/>
        </w:rPr>
        <w:footnoteReference w:id="292"/>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unto the ages of the ages</w:t>
      </w:r>
      <w:r>
        <w:rPr/>
        <w:t xml:space="preserve"> </w:t>
      </w:r>
      <w:r>
        <w:rPr>
          <w:color w:val="4A6FA5"/>
          <w:sz w:val="18"/>
          <w:szCs w:val="18"/>
        </w:rPr>
        <w:t xml:space="preserve"> (x</w:t>
      </w:r>
      <w:r>
        <w:rPr>
          <w:rStyle w:val="FootnoteReference"/>
        </w:rPr>
        <w:footnoteReference w:id="293"/>
      </w:r>
      <w:r>
        <w:rPr>
          <w:color w:val="4A6FA5"/>
          <w:sz w:val="18"/>
          <w:szCs w:val="18"/>
        </w:rPr>
        <w:t xml:space="preserve">) </w:t>
      </w:r>
      <w:r>
        <w:rPr/>
        <w:t xml:space="preserve"> </w:t>
      </w:r>
      <w:r>
        <w:rPr>
          <w:rStyle w:val="FootnoteReference"/>
        </w:rPr>
        <w:footnoteReference w:id="294"/>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95"/>
      </w:r>
      <w:r>
        <w:rPr/>
        <w:t xml:space="preserve">, saying unto me, Who are </w:t>
      </w:r>
      <w:r>
        <w:rPr>
          <w:b w:val="1"/>
          <w:bCs w:val="1"/>
        </w:rPr>
        <w:t xml:space="preserve">these which are arrayed in white robes</w:t>
      </w:r>
      <w:r>
        <w:rPr/>
        <w:t xml:space="preserve"> </w:t>
      </w:r>
      <w:r>
        <w:rPr>
          <w:rStyle w:val="FootnoteReference"/>
        </w:rPr>
        <w:footnoteReference w:id="296"/>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97"/>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98"/>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99"/>
      </w:r>
      <w:r>
        <w:rPr>
          <w:color w:val="4A6FA5"/>
          <w:sz w:val="18"/>
          <w:szCs w:val="18"/>
        </w:rPr>
        <w:t xml:space="preserve">) </w:t>
      </w:r>
      <w:r>
        <w:rPr/>
        <w:t xml:space="preserve"> </w:t>
      </w:r>
      <w:r>
        <w:rPr>
          <w:rStyle w:val="FootnoteReference"/>
        </w:rPr>
        <w:footnoteReference w:id="300"/>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301"/>
      </w:r>
      <w:r>
        <w:rPr>
          <w:color w:val="4A6FA5"/>
          <w:sz w:val="18"/>
          <w:szCs w:val="18"/>
        </w:rPr>
        <w:t xml:space="preserve">) </w:t>
      </w:r>
      <w:r>
        <w:rPr/>
        <w:t xml:space="preserve"> </w:t>
      </w:r>
      <w:r>
        <w:rPr>
          <w:rStyle w:val="FootnoteReference"/>
        </w:rPr>
        <w:footnoteReference w:id="302"/>
      </w:r>
      <w:r>
        <w:rPr/>
        <w:t xml:space="preserve">, and serve him day and night in his </w:t>
      </w:r>
      <w:r>
        <w:rPr>
          <w:b w:val="1"/>
          <w:bCs w:val="1"/>
        </w:rPr>
        <w:t xml:space="preserve">temple</w:t>
      </w:r>
      <w:r>
        <w:rPr/>
        <w:t xml:space="preserve"> </w:t>
      </w:r>
      <w:r>
        <w:rPr>
          <w:rStyle w:val="FootnoteReference"/>
        </w:rPr>
        <w:footnoteReference w:id="303"/>
      </w:r>
      <w:r>
        <w:rPr/>
        <w:t xml:space="preserve">: and he who sits on the throne shall </w:t>
      </w:r>
      <w:r>
        <w:rPr>
          <w:b w:val="1"/>
          <w:bCs w:val="1"/>
        </w:rPr>
        <w:t xml:space="preserve">dwell among them</w:t>
      </w:r>
      <w:r>
        <w:rPr/>
        <w:t xml:space="preserve"> </w:t>
      </w:r>
      <w:r>
        <w:rPr>
          <w:rStyle w:val="FootnoteReference"/>
        </w:rPr>
        <w:footnoteReference w:id="304"/>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305"/>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w:t>
      </w:r>
      <w:r>
        <w:rPr>
          <w:b w:val="1"/>
          <w:bCs w:val="1"/>
        </w:rPr>
        <w:t xml:space="preserve">the Lamb which is in the midst of the throne</w:t>
      </w:r>
      <w:r>
        <w:rPr/>
        <w:t xml:space="preserve"> </w:t>
      </w:r>
      <w:r>
        <w:rPr>
          <w:rStyle w:val="FootnoteReference"/>
        </w:rPr>
        <w:footnoteReference w:id="306"/>
      </w:r>
      <w:r>
        <w:rPr/>
        <w:t xml:space="preserv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307"/>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308"/>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stand before God; and to them were given seven trumpets</w:t>
      </w:r>
      <w:r>
        <w:rPr/>
        <w:t xml:space="preserve"> </w:t>
      </w:r>
      <w:r>
        <w:rPr>
          <w:color w:val="4A6FA5"/>
          <w:sz w:val="18"/>
          <w:szCs w:val="18"/>
        </w:rPr>
        <w:t xml:space="preserve"> (q</w:t>
      </w:r>
      <w:r>
        <w:rPr>
          <w:rStyle w:val="FootnoteReference"/>
        </w:rPr>
        <w:footnoteReference w:id="309"/>
      </w:r>
      <w:r>
        <w:rPr>
          <w:color w:val="4A6FA5"/>
          <w:sz w:val="18"/>
          <w:szCs w:val="18"/>
        </w:rPr>
        <w:t xml:space="preserve">) </w:t>
      </w:r>
      <w:r>
        <w:rPr/>
        <w:t xml:space="preserve"> </w:t>
      </w:r>
      <w:r>
        <w:rPr>
          <w:rStyle w:val="FootnoteReference"/>
        </w:rPr>
        <w:footnoteReference w:id="310"/>
      </w:r>
      <w:r>
        <w:rPr/>
        <w:t xml:space="preserve">.</w:t>
      </w:r>
    </w:p>
    <w:p>
      <w:pPr>
        <w:jc w:val="left"/>
        <w:ind w:left="360" w:right="0" w:firstLine="0" w:hanging="0"/>
        <w:spacing w:after="60"/>
      </w:pPr>
      <w:r>
        <w:rPr>
          <w:sz w:val="18"/>
          <w:szCs w:val="18"/>
          <w:i w:val="1"/>
          <w:iCs w:val="1"/>
        </w:rPr>
        <w:t xml:space="preserve">[fn] In 8:2, it says, "seven messengers who stand before God." This phrase may not seem significant, but it is if it is assumed that the first four messengers of these seven are the same as those in Revelation 7:1 who are holding back the four winds of the earth. Note the messengers' position: In 8:2 "before God" and in 7:1 "standing on the four corners of the earth". While the messengers need not be seen in a fixed position at all times,  8:2 places them before God within the context of the blowing of the trumpets, not on the earth. This does not mean the messengers are unable to relocate to earth for their blowing of trumpets (Revelation elsewhere gives opportunity for this type of movement from heaven to earth), but the direction of the text does not appear to be giving opportunities for that movement for all of chapter 8.</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311"/>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312"/>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313"/>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314"/>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315"/>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316"/>
      </w:r>
      <w:r>
        <w:rPr/>
        <w:t xml:space="preserve"> and </w:t>
      </w:r>
      <w:r>
        <w:rPr>
          <w:b w:val="1"/>
          <w:bCs w:val="1"/>
        </w:rPr>
        <w:t xml:space="preserve">fire mingled with blood, and they were cast upon the earth</w:t>
      </w:r>
      <w:r>
        <w:rPr/>
        <w:t xml:space="preserve"> </w:t>
      </w:r>
      <w:r>
        <w:rPr>
          <w:rStyle w:val="FootnoteReference"/>
        </w:rPr>
        <w:footnoteReference w:id="317"/>
      </w:r>
      <w:r>
        <w:rPr/>
        <w:t xml:space="preserve">: </w:t>
      </w:r>
      <w:r>
        <w:rPr>
          <w:b w:val="1"/>
          <w:bCs w:val="1"/>
        </w:rPr>
        <w:t xml:space="preserve">and the third part of trees was burnt up, and all green grass was burnt up.</w:t>
      </w:r>
      <w:r>
        <w:rPr/>
        <w:t xml:space="preserve"> </w:t>
      </w:r>
      <w:r>
        <w:rPr>
          <w:rStyle w:val="FootnoteReference"/>
        </w:rPr>
        <w:footnoteReference w:id="318"/>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319"/>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320"/>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321"/>
      </w:r>
      <w:r>
        <w:rPr/>
        <w:t xml:space="preserve">: and the third part of the waters became </w:t>
      </w:r>
      <w:r>
        <w:rPr>
          <w:b w:val="1"/>
          <w:bCs w:val="1"/>
        </w:rPr>
        <w:t xml:space="preserve">wormwood</w:t>
      </w:r>
      <w:r>
        <w:rPr/>
        <w:t xml:space="preserve"> </w:t>
      </w:r>
      <w:r>
        <w:rPr>
          <w:rStyle w:val="FootnoteReference"/>
        </w:rPr>
        <w:footnoteReference w:id="322"/>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323"/>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rStyle w:val="FootnoteReference"/>
        </w:rPr>
        <w:footnoteReference w:id="324"/>
      </w:r>
      <w:r>
        <w:rPr/>
        <w:t xml:space="preserve">  through </w:t>
      </w:r>
      <w:r>
        <w:rPr>
          <w:b w:val="1"/>
          <w:bCs w:val="1"/>
        </w:rPr>
        <w:t xml:space="preserve">midheaven</w:t>
      </w:r>
      <w:r>
        <w:rPr/>
        <w:t xml:space="preserve"> </w:t>
      </w:r>
      <w:r>
        <w:rPr>
          <w:rStyle w:val="FootnoteReference"/>
        </w:rPr>
        <w:footnoteReference w:id="325"/>
      </w:r>
      <w:r>
        <w:rPr/>
        <w:t xml:space="preserve">, saying with a great voice, </w:t>
      </w:r>
      <w:r>
        <w:rPr>
          <w:b w:val="1"/>
          <w:bCs w:val="1"/>
        </w:rPr>
        <w:t xml:space="preserve">Woe</w:t>
      </w:r>
      <w:r>
        <w:rPr/>
        <w:t xml:space="preserve"> </w:t>
      </w:r>
      <w:r>
        <w:rPr>
          <w:rStyle w:val="FootnoteReference"/>
        </w:rPr>
        <w:footnoteReference w:id="326"/>
      </w:r>
      <w:r>
        <w:rPr/>
        <w:t xml:space="preserve">, </w:t>
      </w:r>
      <w:r>
        <w:rPr>
          <w:b w:val="1"/>
          <w:bCs w:val="1"/>
        </w:rPr>
        <w:t xml:space="preserve">woe</w:t>
      </w:r>
      <w:r>
        <w:rPr/>
        <w:t xml:space="preserve"> </w:t>
      </w:r>
      <w:r>
        <w:rPr>
          <w:rStyle w:val="FootnoteReference"/>
        </w:rPr>
        <w:footnoteReference w:id="327"/>
      </w:r>
      <w:r>
        <w:rPr/>
        <w:t xml:space="preserve">, </w:t>
      </w:r>
      <w:r>
        <w:rPr>
          <w:b w:val="1"/>
          <w:bCs w:val="1"/>
        </w:rPr>
        <w:t xml:space="preserve">woe</w:t>
      </w:r>
      <w:r>
        <w:rPr/>
        <w:t xml:space="preserve"> </w:t>
      </w:r>
      <w:r>
        <w:rPr>
          <w:rStyle w:val="FootnoteReference"/>
        </w:rPr>
        <w:footnoteReference w:id="328"/>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Critical Text calls this flying messenger an "eagle" (αετου). The Majority Text uses a more general term, "angel/messenger" (ἄγγελος). The Critical Text is not out of place with its priority for eagle. This is because "flying" (πετομένου) in the book of Revelation is used almost exclusively when describing birds or eagles. Thus, because we see "πετομένου", it is safe to expect the Greek with it to also be "αετου" (eagle). Also, because of this pattern of flying being related to birds, even if the original Greek was ἄγγελος (messenger) and not αετου (eagle), we could infer the messenger is an eagle using that pattern, even if the word for "eagle" is not present.</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29"/>
      </w:r>
      <w:r>
        <w:rPr/>
        <w:t xml:space="preserve"> of </w:t>
      </w:r>
      <w:r>
        <w:rPr>
          <w:b w:val="1"/>
          <w:bCs w:val="1"/>
        </w:rPr>
        <w:t xml:space="preserve">the shaft of the bottomless pit</w:t>
      </w:r>
      <w:r>
        <w:rPr/>
        <w:t xml:space="preserve"> </w:t>
      </w:r>
      <w:r>
        <w:rPr>
          <w:rStyle w:val="FootnoteReference"/>
        </w:rPr>
        <w:footnoteReference w:id="330"/>
      </w:r>
      <w:r>
        <w:rPr/>
        <w:t xml:space="preserve"> </w:t>
      </w:r>
      <w:r>
        <w:rPr>
          <w:rStyle w:val="FootnoteReference"/>
        </w:rPr>
        <w:footnoteReference w:id="331"/>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32"/>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33"/>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34"/>
      </w:r>
      <w:r>
        <w:rPr/>
        <w:t xml:space="preserve"> </w:t>
      </w:r>
      <w:r>
        <w:rPr>
          <w:rStyle w:val="FootnoteReference"/>
        </w:rPr>
        <w:footnoteReference w:id="335"/>
      </w:r>
      <w:r>
        <w:rPr/>
        <w:t xml:space="preserve"> </w:t>
      </w:r>
      <w:r>
        <w:rPr>
          <w:rStyle w:val="FootnoteReference"/>
        </w:rPr>
        <w:footnoteReference w:id="336"/>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37"/>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38"/>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39"/>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40"/>
      </w:r>
      <w:r>
        <w:rPr/>
        <w:t xml:space="preserve"> </w:t>
      </w:r>
      <w:r>
        <w:rPr>
          <w:rStyle w:val="FootnoteReference"/>
        </w:rPr>
        <w:footnoteReference w:id="341"/>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42"/>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43"/>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44"/>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45"/>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46"/>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47"/>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mighty messenger</w:t>
      </w:r>
      <w:r>
        <w:rPr/>
        <w:t xml:space="preserve"> </w:t>
      </w:r>
      <w:r>
        <w:rPr>
          <w:rStyle w:val="FootnoteReference"/>
        </w:rPr>
        <w:footnoteReference w:id="348"/>
      </w:r>
      <w:r>
        <w:rPr/>
        <w:t xml:space="preserve"> come down from heaven, </w:t>
      </w:r>
      <w:r>
        <w:rPr>
          <w:b w:val="1"/>
          <w:bCs w:val="1"/>
        </w:rPr>
        <w:t xml:space="preserve">clothed with a cloud</w:t>
      </w:r>
      <w:r>
        <w:rPr/>
        <w:t xml:space="preserve"> </w:t>
      </w:r>
      <w:r>
        <w:rPr>
          <w:rStyle w:val="FootnoteReference"/>
        </w:rPr>
        <w:footnoteReference w:id="349"/>
      </w:r>
      <w:r>
        <w:rPr/>
        <w:t xml:space="preserve">: and </w:t>
      </w:r>
      <w:r>
        <w:rPr>
          <w:b w:val="1"/>
          <w:bCs w:val="1"/>
        </w:rPr>
        <w:t xml:space="preserve">a rainbow was upon his head</w:t>
      </w:r>
      <w:r>
        <w:rPr/>
        <w:t xml:space="preserve"> </w:t>
      </w:r>
      <w:r>
        <w:rPr>
          <w:rStyle w:val="FootnoteReference"/>
        </w:rPr>
        <w:footnoteReference w:id="350"/>
      </w:r>
      <w:r>
        <w:rPr/>
        <w:t xml:space="preserve">, and </w:t>
      </w:r>
      <w:r>
        <w:rPr>
          <w:b w:val="1"/>
          <w:bCs w:val="1"/>
        </w:rPr>
        <w:t xml:space="preserve">his face was as it were the sun</w:t>
      </w:r>
      <w:r>
        <w:rPr/>
        <w:t xml:space="preserve"> </w:t>
      </w:r>
      <w:r>
        <w:rPr>
          <w:rStyle w:val="FootnoteReference"/>
        </w:rPr>
        <w:footnoteReference w:id="351"/>
      </w:r>
      <w:r>
        <w:rPr/>
        <w:t xml:space="preserve"> </w:t>
      </w:r>
      <w:r>
        <w:rPr>
          <w:rStyle w:val="FootnoteReference"/>
        </w:rPr>
        <w:footnoteReference w:id="352"/>
      </w:r>
      <w:r>
        <w:rPr/>
        <w:t xml:space="preserve">, and </w:t>
      </w:r>
      <w:r>
        <w:rPr>
          <w:b w:val="1"/>
          <w:bCs w:val="1"/>
        </w:rPr>
        <w:t xml:space="preserve">his feet as pillars of fire</w:t>
      </w:r>
      <w:r>
        <w:rPr/>
        <w:t xml:space="preserve"> </w:t>
      </w:r>
      <w:r>
        <w:rPr>
          <w:rStyle w:val="FootnoteReference"/>
        </w:rPr>
        <w:footnoteReference w:id="353"/>
      </w:r>
      <w:r>
        <w:rPr/>
        <w:t xml:space="preserve"> </w:t>
      </w:r>
      <w:r>
        <w:rPr>
          <w:rStyle w:val="FootnoteReference"/>
        </w:rPr>
        <w:footnoteReference w:id="354"/>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55"/>
      </w:r>
      <w:r>
        <w:rPr/>
        <w:t xml:space="preserve"> </w:t>
      </w:r>
      <w:r>
        <w:rPr>
          <w:rStyle w:val="FootnoteReference"/>
        </w:rPr>
        <w:footnoteReference w:id="356"/>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57"/>
      </w:r>
      <w:r>
        <w:rPr>
          <w:color w:val="4A6FA5"/>
          <w:sz w:val="18"/>
          <w:szCs w:val="18"/>
        </w:rPr>
        <w:t xml:space="preserve">) </w:t>
      </w:r>
      <w:r>
        <w:rPr/>
        <w:t xml:space="preserve"> </w:t>
      </w:r>
      <w:r>
        <w:rPr>
          <w:rStyle w:val="FootnoteReference"/>
        </w:rPr>
        <w:footnoteReference w:id="358"/>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59"/>
      </w:r>
      <w:r>
        <w:rPr>
          <w:color w:val="4A6FA5"/>
          <w:sz w:val="18"/>
          <w:szCs w:val="18"/>
        </w:rPr>
        <w:t xml:space="preserve">) </w:t>
      </w:r>
      <w:r>
        <w:rPr/>
        <w:t xml:space="preserve"> </w:t>
      </w:r>
      <w:r>
        <w:rPr>
          <w:rStyle w:val="FootnoteReference"/>
        </w:rPr>
        <w:footnoteReference w:id="360"/>
      </w:r>
      <w:r>
        <w:rPr/>
        <w:t xml:space="preserve"> </w:t>
      </w:r>
      <w:r>
        <w:rPr>
          <w:rStyle w:val="FootnoteReference"/>
        </w:rPr>
        <w:footnoteReference w:id="361"/>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62"/>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63"/>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64"/>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65"/>
      </w:r>
      <w:r>
        <w:rPr>
          <w:color w:val="4A6FA5"/>
          <w:sz w:val="18"/>
          <w:szCs w:val="18"/>
        </w:rPr>
        <w:t xml:space="preserve">) </w:t>
      </w:r>
      <w:r>
        <w:rPr/>
        <w:t xml:space="preserve"> </w:t>
      </w:r>
      <w:r>
        <w:rPr>
          <w:rStyle w:val="FootnoteReference"/>
        </w:rPr>
        <w:footnoteReference w:id="366"/>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unto the ages of the ages</w:t>
      </w:r>
      <w:r>
        <w:rPr/>
        <w:t xml:space="preserve"> </w:t>
      </w:r>
      <w:r>
        <w:rPr>
          <w:rStyle w:val="FootnoteReference"/>
        </w:rPr>
        <w:footnoteReference w:id="367"/>
      </w:r>
      <w:r>
        <w:rPr/>
        <w:t xml:space="preserve"> </w:t>
      </w:r>
      <w:r>
        <w:rPr>
          <w:rStyle w:val="FootnoteReference"/>
        </w:rPr>
        <w:footnoteReference w:id="368"/>
      </w:r>
      <w:r>
        <w:rPr/>
        <w:t xml:space="preserve">, </w:t>
      </w:r>
      <w:r>
        <w:rPr>
          <w:b w:val="1"/>
          <w:bCs w:val="1"/>
        </w:rPr>
        <w:t xml:space="preserve">who created</w:t>
      </w:r>
      <w:r>
        <w:rPr/>
        <w:t xml:space="preserve"> </w:t>
      </w:r>
      <w:r>
        <w:rPr>
          <w:rStyle w:val="FootnoteReference"/>
        </w:rPr>
        <w:footnoteReference w:id="369"/>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70"/>
      </w:r>
      <w:r>
        <w:rPr>
          <w:color w:val="4A6FA5"/>
          <w:sz w:val="18"/>
          <w:szCs w:val="18"/>
        </w:rPr>
        <w:t xml:space="preserve">) </w:t>
      </w:r>
      <w:r>
        <w:rPr/>
        <w:t xml:space="preserve"> </w:t>
      </w:r>
      <w:r>
        <w:rPr>
          <w:rStyle w:val="FootnoteReference"/>
        </w:rPr>
        <w:footnoteReference w:id="371"/>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72"/>
      </w:r>
      <w:r>
        <w:rPr>
          <w:color w:val="4A6FA5"/>
          <w:sz w:val="18"/>
          <w:szCs w:val="18"/>
        </w:rPr>
        <w:t xml:space="preserve">) </w:t>
      </w:r>
      <w:r>
        <w:rPr/>
        <w:t xml:space="preserve"> </w:t>
      </w:r>
      <w:r>
        <w:rPr>
          <w:rStyle w:val="FootnoteReference"/>
        </w:rPr>
        <w:footnoteReference w:id="373"/>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74"/>
      </w:r>
      <w:r>
        <w:rPr>
          <w:color w:val="4A6FA5"/>
          <w:sz w:val="18"/>
          <w:szCs w:val="18"/>
        </w:rPr>
        <w:t xml:space="preserve">) </w:t>
      </w:r>
      <w:r>
        <w:rPr/>
        <w:t xml:space="preserve"> </w:t>
      </w:r>
      <w:r>
        <w:rPr>
          <w:rStyle w:val="FootnoteReference"/>
        </w:rPr>
        <w:footnoteReference w:id="375"/>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76"/>
      </w:r>
      <w:r>
        <w:rPr>
          <w:color w:val="4A6FA5"/>
          <w:sz w:val="18"/>
          <w:szCs w:val="18"/>
        </w:rPr>
        <w:t xml:space="preserve">) </w:t>
      </w:r>
      <w:r>
        <w:rPr/>
        <w:t xml:space="preserve"> </w:t>
      </w:r>
      <w:r>
        <w:rPr>
          <w:color w:val="4A6FA5"/>
          <w:sz w:val="18"/>
          <w:szCs w:val="18"/>
        </w:rPr>
        <w:t xml:space="preserve"> (jt</w:t>
      </w:r>
      <w:r>
        <w:rPr>
          <w:rStyle w:val="FootnoteReference"/>
        </w:rPr>
        <w:footnoteReference w:id="377"/>
      </w:r>
      <w:r>
        <w:rPr>
          <w:color w:val="4A6FA5"/>
          <w:sz w:val="18"/>
          <w:szCs w:val="18"/>
        </w:rPr>
        <w:t xml:space="preserve">) </w:t>
      </w:r>
      <w:r>
        <w:rPr/>
        <w:t xml:space="preserve"> </w:t>
      </w:r>
      <w:r>
        <w:rPr>
          <w:rStyle w:val="FootnoteReference"/>
        </w:rPr>
        <w:footnoteReference w:id="378"/>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79"/>
      </w:r>
      <w:r>
        <w:rPr>
          <w:color w:val="4A6FA5"/>
          <w:sz w:val="18"/>
          <w:szCs w:val="18"/>
        </w:rPr>
        <w:t xml:space="preserve">) </w:t>
      </w:r>
      <w:r>
        <w:rPr/>
        <w:t xml:space="preserve">, when he shall begin to sound, the </w:t>
      </w:r>
      <w:r>
        <w:rPr>
          <w:b w:val="1"/>
          <w:bCs w:val="1"/>
        </w:rPr>
        <w:t xml:space="preserve">mystery of God</w:t>
      </w:r>
      <w:r>
        <w:rPr/>
        <w:t xml:space="preserve"> </w:t>
      </w:r>
      <w:r>
        <w:rPr>
          <w:rStyle w:val="FootnoteReference"/>
        </w:rPr>
        <w:footnoteReference w:id="380"/>
      </w:r>
      <w:r>
        <w:rPr/>
        <w:t xml:space="preserve"> </w:t>
      </w:r>
      <w:r>
        <w:rPr>
          <w:b w:val="1"/>
          <w:bCs w:val="1"/>
        </w:rPr>
        <w:t xml:space="preserve">should be finished</w:t>
      </w:r>
      <w:r>
        <w:rPr/>
        <w:t xml:space="preserve"> </w:t>
      </w:r>
      <w:r>
        <w:rPr>
          <w:rStyle w:val="FootnoteReference"/>
        </w:rPr>
        <w:footnoteReference w:id="381"/>
      </w:r>
      <w:r>
        <w:rPr/>
        <w:t xml:space="preserve">, as he has declared to </w:t>
      </w:r>
      <w:r>
        <w:rPr>
          <w:b w:val="1"/>
          <w:bCs w:val="1"/>
        </w:rPr>
        <w:t xml:space="preserve">his servants the prophets</w:t>
      </w:r>
      <w:r>
        <w:rPr/>
        <w:t xml:space="preserve"> </w:t>
      </w:r>
      <w:r>
        <w:rPr>
          <w:rStyle w:val="FootnoteReference"/>
        </w:rPr>
        <w:footnoteReference w:id="382"/>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83"/>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84"/>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85"/>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86"/>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87"/>
      </w:r>
      <w:r>
        <w:rPr/>
        <w:t xml:space="preserve"> </w:t>
      </w:r>
      <w:r>
        <w:rPr>
          <w:rStyle w:val="FootnoteReference"/>
        </w:rPr>
        <w:footnoteReference w:id="388"/>
      </w:r>
      <w:r>
        <w:rPr/>
        <w:t xml:space="preserve"> </w:t>
      </w:r>
      <w:r>
        <w:rPr>
          <w:rStyle w:val="FootnoteReference"/>
        </w:rPr>
        <w:footnoteReference w:id="389"/>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90"/>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91"/>
      </w:r>
      <w:r>
        <w:rPr/>
        <w:t xml:space="preserve"> </w:t>
      </w:r>
      <w:r>
        <w:rPr>
          <w:b w:val="1"/>
          <w:bCs w:val="1"/>
        </w:rPr>
        <w:t xml:space="preserve">two witnesses</w:t>
      </w:r>
      <w:r>
        <w:rPr/>
        <w:t xml:space="preserve"> </w:t>
      </w:r>
      <w:r>
        <w:rPr>
          <w:rStyle w:val="FootnoteReference"/>
        </w:rPr>
        <w:footnoteReference w:id="392"/>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93"/>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94"/>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95"/>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w:t>
      </w:r>
      <w:r>
        <w:rPr>
          <w:b w:val="1"/>
          <w:bCs w:val="1"/>
        </w:rPr>
        <w:t xml:space="preserve">their testimony</w:t>
      </w:r>
      <w:r>
        <w:rPr/>
        <w:t xml:space="preserve"> </w:t>
      </w:r>
      <w:r>
        <w:rPr>
          <w:rStyle w:val="FootnoteReference"/>
        </w:rPr>
        <w:footnoteReference w:id="396"/>
      </w:r>
      <w:r>
        <w:rPr/>
        <w:t xml:space="preserve">,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97"/>
      </w:r>
      <w:r>
        <w:rPr>
          <w:color w:val="4A6FA5"/>
          <w:sz w:val="18"/>
          <w:szCs w:val="18"/>
        </w:rPr>
        <w:t xml:space="preserve">) </w:t>
      </w:r>
      <w:r>
        <w:rPr/>
        <w:t xml:space="preserve"> </w:t>
      </w:r>
      <w:r>
        <w:rPr>
          <w:rStyle w:val="FootnoteReference"/>
        </w:rPr>
        <w:footnoteReference w:id="398"/>
      </w:r>
      <w:r>
        <w:rPr/>
        <w:t xml:space="preserve"> </w:t>
      </w:r>
      <w:r>
        <w:rPr>
          <w:rStyle w:val="FootnoteReference"/>
        </w:rPr>
        <w:footnoteReference w:id="399"/>
      </w:r>
      <w:r>
        <w:rPr/>
        <w:t xml:space="preserve"> shall </w:t>
      </w:r>
      <w:r>
        <w:rPr>
          <w:b w:val="1"/>
          <w:bCs w:val="1"/>
        </w:rPr>
        <w:t xml:space="preserve">make war</w:t>
      </w:r>
      <w:r>
        <w:rPr/>
        <w:t xml:space="preserve"> </w:t>
      </w:r>
      <w:r>
        <w:rPr>
          <w:rStyle w:val="FootnoteReference"/>
        </w:rPr>
        <w:footnoteReference w:id="400"/>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401"/>
      </w:r>
      <w:r>
        <w:rPr/>
        <w:t xml:space="preserve"> </w:t>
      </w:r>
      <w:r>
        <w:rPr>
          <w:rStyle w:val="FootnoteReference"/>
        </w:rPr>
        <w:footnoteReference w:id="402"/>
      </w:r>
      <w:r>
        <w:rPr/>
        <w:t xml:space="preserve">, which spiritually is called </w:t>
      </w:r>
      <w:r>
        <w:rPr>
          <w:b w:val="1"/>
          <w:bCs w:val="1"/>
        </w:rPr>
        <w:t xml:space="preserve">Sodom and Egypt</w:t>
      </w:r>
      <w:r>
        <w:rPr/>
        <w:t xml:space="preserve"> </w:t>
      </w:r>
      <w:r>
        <w:rPr>
          <w:rStyle w:val="FootnoteReference"/>
        </w:rPr>
        <w:footnoteReference w:id="403"/>
      </w:r>
      <w:r>
        <w:rPr/>
        <w:t xml:space="preserve"> </w:t>
      </w:r>
      <w:r>
        <w:rPr>
          <w:rStyle w:val="FootnoteReference"/>
        </w:rPr>
        <w:footnoteReference w:id="404"/>
      </w:r>
      <w:r>
        <w:rPr/>
        <w:t xml:space="preserve">, where also our Lord was crucified </w:t>
      </w:r>
      <w:r>
        <w:rPr>
          <w:rStyle w:val="FootnoteReference"/>
        </w:rPr>
        <w:footnoteReference w:id="405"/>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406"/>
      </w:r>
      <w:r>
        <w:rPr/>
        <w:t xml:space="preserve"> shall see their dead bodies </w:t>
      </w:r>
      <w:r>
        <w:rPr>
          <w:b w:val="1"/>
          <w:bCs w:val="1"/>
        </w:rPr>
        <w:t xml:space="preserve">three days and a half</w:t>
      </w:r>
      <w:r>
        <w:rPr/>
        <w:t xml:space="preserve"> </w:t>
      </w:r>
      <w:r>
        <w:rPr>
          <w:rStyle w:val="FootnoteReference"/>
        </w:rPr>
        <w:footnoteReference w:id="407"/>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408"/>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409"/>
      </w:r>
      <w:r>
        <w:rPr/>
        <w:t xml:space="preserve"> saying unto them, </w:t>
      </w:r>
      <w:r>
        <w:rPr>
          <w:b w:val="1"/>
          <w:bCs w:val="1"/>
        </w:rPr>
        <w:t xml:space="preserve">Ascend here</w:t>
      </w:r>
      <w:r>
        <w:rPr/>
        <w:t xml:space="preserve"> </w:t>
      </w:r>
      <w:r>
        <w:rPr>
          <w:rStyle w:val="FootnoteReference"/>
        </w:rPr>
        <w:footnoteReference w:id="410"/>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jc w:val="left"/>
        <w:ind w:left="360" w:right="0" w:firstLine="0" w:hanging="0"/>
        <w:spacing w:after="60"/>
      </w:pPr>
      <w:r>
        <w:rPr>
          <w:sz w:val="18"/>
          <w:szCs w:val="18"/>
          <w:i w:val="1"/>
          <w:iCs w:val="1"/>
        </w:rPr>
        <w:t xml:space="preserve">[fn] Note that the ascension of the two witnesses occurs after their resurrected physical bodies stand on their feet. This means heaven is able to receive resurrected bodies, not only the spirits of the dead. That detail is important because it may indicate that other resurrected bodies can also be present in heaven, possibly even before the first resurrection in Revelation 20.</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411"/>
      </w:r>
      <w:r>
        <w:rPr/>
        <w:t xml:space="preserve">; and, behold, the third woe comes </w:t>
      </w:r>
      <w:r>
        <w:rPr>
          <w:b w:val="1"/>
          <w:bCs w:val="1"/>
        </w:rPr>
        <w:t xml:space="preserve">quickly</w:t>
      </w:r>
      <w:r>
        <w:rPr/>
        <w:t xml:space="preserve"> </w:t>
      </w:r>
      <w:r>
        <w:rPr>
          <w:rStyle w:val="FootnoteReference"/>
        </w:rPr>
        <w:footnoteReference w:id="412"/>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413"/>
      </w:r>
      <w:r>
        <w:rPr>
          <w:color w:val="4A6FA5"/>
          <w:sz w:val="18"/>
          <w:szCs w:val="18"/>
        </w:rPr>
        <w:t xml:space="preserve">) </w:t>
      </w:r>
      <w:r>
        <w:rPr/>
        <w:t xml:space="preserve"> </w:t>
      </w:r>
      <w:r>
        <w:rPr>
          <w:rStyle w:val="FootnoteReference"/>
        </w:rPr>
        <w:footnoteReference w:id="414"/>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415"/>
      </w:r>
      <w:r>
        <w:rPr>
          <w:color w:val="4A6FA5"/>
          <w:sz w:val="18"/>
          <w:szCs w:val="18"/>
        </w:rPr>
        <w:t xml:space="preserve">) </w:t>
      </w:r>
      <w:r>
        <w:rPr/>
        <w:t xml:space="preserve"> </w:t>
      </w:r>
      <w:r>
        <w:rPr>
          <w:rStyle w:val="FootnoteReference"/>
        </w:rPr>
        <w:footnoteReference w:id="416"/>
      </w:r>
      <w:r>
        <w:rPr/>
        <w:t xml:space="preserve">, saying, </w:t>
      </w:r>
      <w:r>
        <w:rPr>
          <w:b w:val="1"/>
          <w:bCs w:val="1"/>
        </w:rPr>
        <w:t xml:space="preserve">The kingdom of this world has become the kingdom of our Lord, and of his Christ</w:t>
      </w:r>
      <w:r>
        <w:rPr/>
        <w:t xml:space="preserve"> </w:t>
      </w:r>
      <w:r>
        <w:rPr>
          <w:rStyle w:val="FootnoteReference"/>
        </w:rPr>
        <w:footnoteReference w:id="417"/>
      </w:r>
      <w:r>
        <w:rPr/>
        <w:t xml:space="preserve">; and he shall reign unto the ages of the ages.</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418"/>
      </w:r>
      <w:r>
        <w:rPr/>
        <w:t xml:space="preserve">, who sat before God on their thrones, </w:t>
      </w:r>
      <w:r>
        <w:rPr>
          <w:b w:val="1"/>
          <w:bCs w:val="1"/>
        </w:rPr>
        <w:t xml:space="preserve">fell upon their faces, and worshipped God</w:t>
      </w:r>
      <w:r>
        <w:rPr/>
        <w:t xml:space="preserve">, </w:t>
      </w:r>
      <w:r>
        <w:rPr>
          <w:rStyle w:val="FootnoteReference"/>
        </w:rPr>
        <w:footnoteReference w:id="419"/>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420"/>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w:t>
      </w:r>
      <w:r>
        <w:rPr>
          <w:b w:val="1"/>
          <w:bCs w:val="1"/>
        </w:rPr>
        <w:t xml:space="preserve">the nations were enraged</w:t>
      </w:r>
      <w:r>
        <w:rPr/>
        <w:t xml:space="preserve"> </w:t>
      </w:r>
      <w:r>
        <w:rPr>
          <w:rStyle w:val="FootnoteReference"/>
        </w:rPr>
        <w:footnoteReference w:id="421"/>
      </w:r>
      <w:r>
        <w:rPr/>
        <w:t xml:space="preserve">, and </w:t>
      </w:r>
      <w:r>
        <w:rPr>
          <w:b w:val="1"/>
          <w:bCs w:val="1"/>
        </w:rPr>
        <w:t xml:space="preserve">thy wrath has come</w:t>
      </w:r>
      <w:r>
        <w:rPr/>
        <w:t xml:space="preserve"> </w:t>
      </w:r>
      <w:r>
        <w:rPr>
          <w:rStyle w:val="FootnoteReference"/>
        </w:rPr>
        <w:footnoteReference w:id="422"/>
      </w:r>
      <w:r>
        <w:rPr/>
        <w:t xml:space="preserve">, and </w:t>
      </w:r>
      <w:r>
        <w:rPr>
          <w:b w:val="1"/>
          <w:bCs w:val="1"/>
        </w:rPr>
        <w:t xml:space="preserve">the time of the dead, to be judged</w:t>
      </w:r>
      <w:r>
        <w:rPr/>
        <w:t xml:space="preserve"> </w:t>
      </w:r>
      <w:r>
        <w:rPr>
          <w:color w:val="4A6FA5"/>
          <w:sz w:val="18"/>
          <w:szCs w:val="18"/>
        </w:rPr>
        <w:t xml:space="preserve"> (jt</w:t>
      </w:r>
      <w:r>
        <w:rPr>
          <w:rStyle w:val="FootnoteReference"/>
        </w:rPr>
        <w:footnoteReference w:id="423"/>
      </w:r>
      <w:r>
        <w:rPr>
          <w:color w:val="4A6FA5"/>
          <w:sz w:val="18"/>
          <w:szCs w:val="18"/>
        </w:rPr>
        <w:t xml:space="preserve">) </w:t>
      </w:r>
      <w:r>
        <w:rPr/>
        <w:t xml:space="preserve"> </w:t>
      </w:r>
      <w:r>
        <w:rPr>
          <w:rStyle w:val="FootnoteReference"/>
        </w:rPr>
        <w:footnoteReference w:id="424"/>
      </w:r>
      <w:r>
        <w:rPr/>
        <w:t xml:space="preserve"> </w:t>
      </w:r>
      <w:r>
        <w:rPr>
          <w:rStyle w:val="FootnoteReference"/>
        </w:rPr>
        <w:footnoteReference w:id="425"/>
      </w:r>
      <w:r>
        <w:rPr/>
        <w:t xml:space="preserve">, and that </w:t>
      </w:r>
      <w:r>
        <w:rPr>
          <w:b w:val="1"/>
          <w:bCs w:val="1"/>
        </w:rPr>
        <w:t xml:space="preserve">you give reward</w:t>
      </w:r>
      <w:r>
        <w:rPr/>
        <w:t xml:space="preserve"> </w:t>
      </w:r>
      <w:r>
        <w:rPr>
          <w:rStyle w:val="FootnoteReference"/>
        </w:rPr>
        <w:footnoteReference w:id="426"/>
      </w:r>
      <w:r>
        <w:rPr/>
        <w:t xml:space="preserve"> unto </w:t>
      </w:r>
      <w:r>
        <w:rPr>
          <w:b w:val="1"/>
          <w:bCs w:val="1"/>
        </w:rPr>
        <w:t xml:space="preserve">thy servants the prophets</w:t>
      </w:r>
      <w:r>
        <w:rPr/>
        <w:t xml:space="preserve"> </w:t>
      </w:r>
      <w:r>
        <w:rPr>
          <w:rStyle w:val="FootnoteReference"/>
        </w:rPr>
        <w:footnoteReference w:id="427"/>
      </w:r>
      <w:r>
        <w:rPr/>
        <w:t xml:space="preserve">, and to the saints, and those who </w:t>
      </w:r>
      <w:r>
        <w:rPr>
          <w:b w:val="1"/>
          <w:bCs w:val="1"/>
        </w:rPr>
        <w:t xml:space="preserve">fear thy name</w:t>
      </w:r>
      <w:r>
        <w:rPr/>
        <w:t xml:space="preserve"> </w:t>
      </w:r>
      <w:r>
        <w:rPr>
          <w:rStyle w:val="FootnoteReference"/>
        </w:rPr>
        <w:footnoteReference w:id="428"/>
      </w:r>
      <w:r>
        <w:rPr/>
        <w:t xml:space="preserve">, </w:t>
      </w:r>
      <w:r>
        <w:rPr>
          <w:b w:val="1"/>
          <w:bCs w:val="1"/>
        </w:rPr>
        <w:t xml:space="preserve">small and great</w:t>
      </w:r>
      <w:r>
        <w:rPr/>
        <w:t xml:space="preserve"> </w:t>
      </w:r>
      <w:r>
        <w:rPr>
          <w:rStyle w:val="FootnoteReference"/>
        </w:rPr>
        <w:footnoteReference w:id="429"/>
      </w:r>
      <w:r>
        <w:rPr/>
        <w:t xml:space="preserve">; and should destroy them which destroy the earth.</w:t>
      </w:r>
    </w:p>
    <w:p>
      <w:pPr>
        <w:jc w:val="left"/>
        <w:ind w:left="360" w:right="0" w:firstLine="0" w:hanging="0"/>
        <w:spacing w:after="60"/>
      </w:pPr>
      <w:r>
        <w:rPr>
          <w:sz w:val="18"/>
          <w:szCs w:val="18"/>
          <w:i w:val="1"/>
          <w:iCs w:val="1"/>
        </w:rPr>
        <w:t xml:space="preserve">[fn] The phrase "destroy them which destroy" gives the feeling of bringing upon those who do evil the evil they deliver. That is, a balanced justice coming from God.</w:t>
      </w:r>
    </w:p>
    <w:p>
      <w:pPr>
        <w:jc w:val="left"/>
        <w:ind w:left="360" w:right="0" w:firstLine="0" w:hanging="0"/>
        <w:spacing w:after="60"/>
      </w:pPr>
      <w:r>
        <w:rPr>
          <w:sz w:val="18"/>
          <w:szCs w:val="18"/>
          <w:i w:val="1"/>
          <w:iCs w:val="1"/>
        </w:rPr>
        <w:t xml:space="preserve">[fn] The word used for “time” here is καιρός. In Revelation, καιρός is used in a general and somewhat flexible sense ("the time is near" 1:3 and 22:10, "a short time" 12:12, and " for a time and times and half a time" 12:14); it does not necessarily mean something is happening immediately or at that exact moment. Rather, it refers to a season or appointed span of time that is near, though its precise timing remains somewhat open or undefined. It conveys nearness without strict immediacy. For example, we might say “Christmas is here” on December 1st—not because the day itself has arrived, but because the season has begun and its fulfillment is approaching on the 25th.</w:t>
      </w:r>
    </w:p>
    <w:p>
      <w:pPr>
        <w:jc w:val="left"/>
        <w:ind w:left="360" w:right="0" w:firstLine="0" w:hanging="0"/>
        <w:spacing w:after="60"/>
      </w:pPr>
      <w:r>
        <w:rPr>
          <w:sz w:val="18"/>
          <w:szCs w:val="18"/>
          <w:i w:val="1"/>
          <w:iCs w:val="1"/>
        </w:rPr>
        <w:t xml:space="preserve">[fn] ἦλθεν should not be pressed to mean that the wrath and judgment are already completed in full (which the NASB might project). In this context, the force is better understood as “arrival”: “Your wrath has come,” that is, the appointed time has now come. This is confirmed by the following phrase, καὶ ὁ καιρὸς τῶν νεκρῶν κριθῆναι, “and the time for the dead to be judged.” The verse, therefore, announces the arrival of the divinely appointed season for judgment, reward, and destruction, not necessarily the completion of every act of judgment at the moment of the announcement.</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430"/>
      </w:r>
      <w:r>
        <w:rPr>
          <w:color w:val="4A6FA5"/>
          <w:sz w:val="18"/>
          <w:szCs w:val="18"/>
        </w:rPr>
        <w:t xml:space="preserve">) </w:t>
      </w:r>
      <w:r>
        <w:rPr/>
        <w:t xml:space="preserve"> </w:t>
      </w:r>
      <w:r>
        <w:rPr>
          <w:rStyle w:val="FootnoteReference"/>
        </w:rPr>
        <w:footnoteReference w:id="431"/>
      </w:r>
      <w:r>
        <w:rPr/>
        <w:t xml:space="preserve">: and there were </w:t>
      </w:r>
      <w:r>
        <w:rPr>
          <w:b w:val="1"/>
          <w:bCs w:val="1"/>
        </w:rPr>
        <w:t xml:space="preserve">lightnings, and voices, and thunders, and an earthquake,</w:t>
      </w:r>
      <w:r>
        <w:rPr/>
        <w:t xml:space="preserve"> </w:t>
      </w:r>
      <w:r>
        <w:rPr>
          <w:rStyle w:val="FootnoteReference"/>
        </w:rPr>
        <w:footnoteReference w:id="432"/>
      </w:r>
      <w:r>
        <w:rPr/>
        <w:t xml:space="preserve"> and </w:t>
      </w:r>
      <w:r>
        <w:rPr>
          <w:b w:val="1"/>
          <w:bCs w:val="1"/>
        </w:rPr>
        <w:t xml:space="preserve">great hail</w:t>
      </w:r>
      <w:r>
        <w:rPr/>
        <w:t xml:space="preserve"> </w:t>
      </w:r>
      <w:r>
        <w:rPr>
          <w:rStyle w:val="FootnoteReference"/>
        </w:rPr>
        <w:footnoteReference w:id="433"/>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434"/>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435"/>
      </w:r>
      <w:r>
        <w:rPr>
          <w:color w:val="4A6FA5"/>
          <w:sz w:val="18"/>
          <w:szCs w:val="18"/>
        </w:rPr>
        <w:t xml:space="preserve">) </w:t>
      </w:r>
      <w:r>
        <w:rPr/>
        <w:t xml:space="preserve"> </w:t>
      </w:r>
      <w:r>
        <w:rPr>
          <w:rStyle w:val="FootnoteReference"/>
        </w:rPr>
        <w:footnoteReference w:id="436"/>
      </w:r>
      <w:r>
        <w:rPr/>
        <w:t xml:space="preserve"> </w:t>
      </w:r>
      <w:r>
        <w:rPr>
          <w:rStyle w:val="FootnoteReference"/>
        </w:rPr>
        <w:footnoteReference w:id="437"/>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38"/>
      </w:r>
      <w:r>
        <w:rPr/>
        <w:t xml:space="preserve"> </w:t>
      </w:r>
      <w:r>
        <w:rPr>
          <w:rStyle w:val="FootnoteReference"/>
        </w:rPr>
        <w:footnoteReference w:id="439"/>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40"/>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41"/>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42"/>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43"/>
      </w:r>
      <w:r>
        <w:rPr/>
        <w:t xml:space="preserve"> </w:t>
      </w:r>
      <w:r>
        <w:rPr>
          <w:rStyle w:val="FootnoteReference"/>
        </w:rPr>
        <w:footnoteReference w:id="444"/>
      </w:r>
      <w:r>
        <w:rPr/>
        <w:t xml:space="preserve">, and upon his heads </w:t>
      </w:r>
      <w:r>
        <w:rPr>
          <w:b w:val="1"/>
          <w:bCs w:val="1"/>
        </w:rPr>
        <w:t xml:space="preserve">seven diadems</w:t>
      </w:r>
      <w:r>
        <w:rPr/>
        <w:t xml:space="preserve"> </w:t>
      </w:r>
      <w:r>
        <w:rPr>
          <w:rStyle w:val="FootnoteReference"/>
        </w:rPr>
        <w:footnoteReference w:id="445"/>
      </w:r>
      <w:r>
        <w:rPr/>
        <w:t xml:space="preserve">  </w:t>
      </w:r>
      <w:r>
        <w:rPr>
          <w:color w:val="4A6FA5"/>
          <w:sz w:val="18"/>
          <w:szCs w:val="18"/>
        </w:rPr>
        <w:t xml:space="preserve"> (dd</w:t>
      </w:r>
      <w:r>
        <w:rPr>
          <w:rStyle w:val="FootnoteReference"/>
        </w:rPr>
        <w:footnoteReference w:id="446"/>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47"/>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48"/>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 Nor can it be the ascension of Jesus after his death based on that same premise.</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49"/>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50"/>
      </w:r>
      <w:r>
        <w:rPr/>
        <w:t xml:space="preserve">: and </w:t>
      </w:r>
      <w:r>
        <w:rPr>
          <w:b w:val="1"/>
          <w:bCs w:val="1"/>
        </w:rPr>
        <w:t xml:space="preserve">her child was caught up unto God</w:t>
      </w:r>
      <w:r>
        <w:rPr/>
        <w:t xml:space="preserve"> </w:t>
      </w:r>
      <w:r>
        <w:rPr>
          <w:rStyle w:val="FootnoteReference"/>
        </w:rPr>
        <w:footnoteReference w:id="451"/>
      </w:r>
      <w:r>
        <w:rPr/>
        <w:t xml:space="preserve"> </w:t>
      </w:r>
      <w:r>
        <w:rPr>
          <w:color w:val="4A6FA5"/>
          <w:sz w:val="18"/>
          <w:szCs w:val="18"/>
        </w:rPr>
        <w:t xml:space="preserve"> (ja</w:t>
      </w:r>
      <w:r>
        <w:rPr>
          <w:rStyle w:val="FootnoteReference"/>
        </w:rPr>
        <w:footnoteReference w:id="452"/>
      </w:r>
      <w:r>
        <w:rPr>
          <w:color w:val="4A6FA5"/>
          <w:sz w:val="18"/>
          <w:szCs w:val="18"/>
        </w:rPr>
        <w:t xml:space="preserve">) </w:t>
      </w:r>
      <w:r>
        <w:rPr/>
        <w:t xml:space="preserve">, and to </w:t>
      </w:r>
      <w:r>
        <w:rPr>
          <w:b w:val="1"/>
          <w:bCs w:val="1"/>
        </w:rPr>
        <w:t xml:space="preserve">his throne</w:t>
      </w:r>
      <w:r>
        <w:rPr/>
        <w:t xml:space="preserve">. </w:t>
      </w:r>
      <w:r>
        <w:rPr>
          <w:rStyle w:val="FootnoteReference"/>
        </w:rPr>
        <w:footnoteReference w:id="453"/>
      </w:r>
      <w:r>
        <w:rPr/>
        <w:t xml:space="preserve"> </w:t>
      </w:r>
      <w:r>
        <w:rPr>
          <w:rStyle w:val="FootnoteReference"/>
        </w:rPr>
        <w:footnoteReference w:id="454"/>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55"/>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56"/>
      </w:r>
      <w:r>
        <w:rPr/>
        <w:t xml:space="preserve"> waging war against the dragon; and the </w:t>
      </w:r>
      <w:r>
        <w:rPr>
          <w:b w:val="1"/>
          <w:bCs w:val="1"/>
        </w:rPr>
        <w:t xml:space="preserve">dragon</w:t>
      </w:r>
      <w:r>
        <w:rPr/>
        <w:t xml:space="preserve"> waged war and his messengers </w:t>
      </w:r>
      <w:r>
        <w:rPr>
          <w:rStyle w:val="FootnoteReference"/>
        </w:rPr>
        <w:footnoteReference w:id="457"/>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mighty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58"/>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59"/>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60"/>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61"/>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62"/>
      </w:r>
      <w:r>
        <w:rPr/>
        <w:t xml:space="preserve">  him by the </w:t>
      </w:r>
      <w:r>
        <w:rPr>
          <w:b w:val="1"/>
          <w:bCs w:val="1"/>
        </w:rPr>
        <w:t xml:space="preserve">blood of the Lamb</w:t>
      </w:r>
      <w:r>
        <w:rPr/>
        <w:t xml:space="preserve"> </w:t>
      </w:r>
      <w:r>
        <w:rPr>
          <w:rStyle w:val="FootnoteReference"/>
        </w:rPr>
        <w:footnoteReference w:id="463"/>
      </w:r>
      <w:r>
        <w:rPr/>
        <w:t xml:space="preserve"> </w:t>
      </w:r>
      <w:r>
        <w:rPr>
          <w:color w:val="4A6FA5"/>
          <w:sz w:val="18"/>
          <w:szCs w:val="18"/>
        </w:rPr>
        <w:t xml:space="preserve"> (lb</w:t>
      </w:r>
      <w:r>
        <w:rPr>
          <w:rStyle w:val="FootnoteReference"/>
        </w:rPr>
        <w:footnoteReference w:id="464"/>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65"/>
      </w:r>
      <w:r>
        <w:rPr>
          <w:rStyle w:val="FootnoteReference"/>
        </w:rPr>
        <w:footnoteReference w:id="466"/>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67"/>
      </w:r>
      <w:r>
        <w:rPr/>
        <w:t xml:space="preserve"> </w:t>
      </w:r>
      <w:r>
        <w:rPr>
          <w:rStyle w:val="FootnoteReference"/>
        </w:rPr>
        <w:footnoteReference w:id="468"/>
      </w:r>
      <w:r>
        <w:rPr/>
        <w:t xml:space="preserve">, O heavens, and all you who dwell in them. Woe to the inhabitants of the earth and of the sea! For the devil is come down unto you, having great fury,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69"/>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70"/>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71"/>
      </w:r>
      <w:r>
        <w:rPr/>
        <w:t xml:space="preserve">, that she might </w:t>
      </w:r>
      <w:r>
        <w:rPr>
          <w:b w:val="1"/>
          <w:bCs w:val="1"/>
        </w:rPr>
        <w:t xml:space="preserve">fly</w:t>
      </w:r>
      <w:r>
        <w:rPr/>
        <w:t xml:space="preserve"> </w:t>
      </w:r>
      <w:r>
        <w:rPr>
          <w:rStyle w:val="FootnoteReference"/>
        </w:rPr>
        <w:footnoteReference w:id="472"/>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73"/>
      </w:r>
      <w:r>
        <w:rPr>
          <w:color w:val="4A6FA5"/>
          <w:sz w:val="18"/>
          <w:szCs w:val="18"/>
        </w:rPr>
        <w:t xml:space="preserve">) </w:t>
      </w:r>
      <w:r>
        <w:rPr/>
        <w:t xml:space="preserve"> </w:t>
      </w:r>
      <w:r>
        <w:rPr>
          <w:rStyle w:val="FootnoteReference"/>
        </w:rPr>
        <w:footnoteReference w:id="474"/>
      </w:r>
      <w:r>
        <w:rPr/>
        <w:t xml:space="preserve">, from the </w:t>
      </w:r>
      <w:r>
        <w:rPr>
          <w:b w:val="1"/>
          <w:bCs w:val="1"/>
        </w:rPr>
        <w:t xml:space="preserve">face of the serpent</w:t>
      </w:r>
      <w:r>
        <w:rPr/>
        <w:t xml:space="preserve"> </w:t>
      </w:r>
      <w:r>
        <w:rPr>
          <w:rStyle w:val="FootnoteReference"/>
        </w:rPr>
        <w:footnoteReference w:id="475"/>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jc w:val="left"/>
        <w:ind w:left="360" w:right="0" w:firstLine="0" w:hanging="0"/>
        <w:spacing w:after="60"/>
      </w:pPr>
      <w:r>
        <w:rPr>
          <w:sz w:val="18"/>
          <w:szCs w:val="18"/>
          <w:i w:val="1"/>
          <w:iCs w:val="1"/>
        </w:rPr>
        <w:t xml:space="preserve">[fn] This “time and times and half a time” is unlikely to be the same as the 1,260 days, given the sequence of events. Nor is this the same moment as the woman fleeing the first time, for the same reason. In the sequence of events, the dragon casts the stars to the earth, likely representing his power over angels rather than the twelve stars of the woman. Then we see him in heaven with one-third of the angels to make war. Next, he and his angels are cast out together, which is not the same as him casting angels to the earth. This marks the entities as cast differently: in the first account, the angels are cast down by Satan; in the second, Satan and his angels are cast down together.
For the woman, she hides in the first account for 1,260 days, which is distinct in its precise description from the “time and times and half a time,” which is less precise. These distinctions suggest that the woman is more likely to flee from Satan twice, and that the text, by those distinctions, is not simply repeating itself in these events.</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behind the woman, that he might cause her to be carried away by the flood.</w:t>
      </w:r>
    </w:p>
    <w:p>
      <w:pPr>
        <w:jc w:val="left"/>
        <w:ind w:left="360" w:right="0" w:firstLine="0" w:hanging="0"/>
        <w:spacing w:after="60"/>
      </w:pPr>
      <w:r>
        <w:rPr>
          <w:sz w:val="18"/>
          <w:szCs w:val="18"/>
          <w:i w:val="1"/>
          <w:iCs w:val="1"/>
        </w:rPr>
        <w:t xml:space="preserve">[fn] The target of attack appears to be the 144,000 of Israel, yet when he cannot get to them, the serpent turns to the other saints, those who will rule for 1000 years, yet not protected in the same way as the 144,000 appear to be.</w:t>
      </w:r>
    </w:p>
    <w:p>
      <w:pPr>
        <w:jc w:val="left"/>
        <w:ind w:left="360" w:right="0" w:firstLine="0" w:hanging="0"/>
        <w:spacing w:after="60"/>
      </w:pPr>
      <w:r>
        <w:rPr>
          <w:sz w:val="18"/>
          <w:szCs w:val="18"/>
          <w:i w:val="1"/>
          <w:iCs w:val="1"/>
        </w:rPr>
        <w:t xml:space="preserve">[fn] The word rendered “behind” is ὀπίσω, not μετά. In this construction, ὀπίσω τῆς γυναικός means “behind the woman” or “at the back of the woman.” The term describes position or direction relative to the woman, not chronological sequence. This is distinct from μετά, whose sense is determined first by its grammatical construction: μετά with the genitive normally expresses association, “with,” while μετά with the accusative normally expresses sequence or following, “after.” The exact English gloss is then refined by context.</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enraged</w:t>
      </w:r>
      <w:r>
        <w:rPr/>
        <w:t xml:space="preserve"> </w:t>
      </w:r>
      <w:r>
        <w:rPr>
          <w:rStyle w:val="FootnoteReference"/>
        </w:rPr>
        <w:footnoteReference w:id="476"/>
      </w:r>
      <w:r>
        <w:rPr/>
        <w:t xml:space="preserve"> </w:t>
      </w:r>
      <w:r>
        <w:rPr>
          <w:b w:val="1"/>
          <w:bCs w:val="1"/>
        </w:rPr>
        <w:t xml:space="preserve">with the woman, and went to make war with the remnant of her seed, who keep the commandments of God</w:t>
      </w:r>
      <w:r>
        <w:rPr/>
        <w:t xml:space="preserve"> </w:t>
      </w:r>
      <w:r>
        <w:rPr>
          <w:rStyle w:val="FootnoteReference"/>
        </w:rPr>
        <w:footnoteReference w:id="477"/>
      </w:r>
      <w:r>
        <w:rPr/>
        <w:t xml:space="preserve"> </w:t>
      </w:r>
      <w:r>
        <w:rPr>
          <w:color w:val="4A6FA5"/>
          <w:sz w:val="18"/>
          <w:szCs w:val="18"/>
        </w:rPr>
        <w:t xml:space="preserve"> (m</w:t>
      </w:r>
      <w:r>
        <w:rPr>
          <w:rStyle w:val="FootnoteReference"/>
        </w:rPr>
        <w:footnoteReference w:id="478"/>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79"/>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80"/>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81"/>
      </w:r>
      <w:r>
        <w:rPr/>
        <w:t xml:space="preserve">, and upon his heads the </w:t>
      </w:r>
      <w:r>
        <w:rPr>
          <w:b w:val="1"/>
          <w:bCs w:val="1"/>
        </w:rPr>
        <w:t xml:space="preserve">names of blasphemy</w:t>
      </w:r>
      <w:r>
        <w:rPr/>
        <w:t xml:space="preserve"> </w:t>
      </w:r>
      <w:r>
        <w:rPr>
          <w:rStyle w:val="FootnoteReference"/>
        </w:rPr>
        <w:footnoteReference w:id="482"/>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83"/>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84"/>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85"/>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86"/>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87"/>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88"/>
      </w:r>
      <w:r>
        <w:rPr>
          <w:color w:val="4A6FA5"/>
          <w:sz w:val="18"/>
          <w:szCs w:val="18"/>
        </w:rPr>
        <w:t xml:space="preserve">) </w:t>
      </w:r>
      <w:r>
        <w:rPr/>
        <w:t xml:space="preserve"> </w:t>
      </w:r>
      <w:r>
        <w:rPr>
          <w:rStyle w:val="FootnoteReference"/>
        </w:rPr>
        <w:footnoteReference w:id="489"/>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90"/>
      </w:r>
      <w:r>
        <w:rPr/>
        <w:t xml:space="preserve">, </w:t>
      </w:r>
      <w:r>
        <w:rPr>
          <w:i w:val="1"/>
          <w:iCs w:val="1"/>
        </w:rPr>
        <w:t xml:space="preserve">[and]</w:t>
      </w:r>
      <w:r>
        <w:rPr/>
        <w:t xml:space="preserve"> those who dwell in heaven. </w:t>
      </w:r>
      <w:r>
        <w:rPr>
          <w:rStyle w:val="FootnoteReference"/>
        </w:rPr>
        <w:footnoteReference w:id="491"/>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92"/>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93"/>
      </w:r>
      <w:r>
        <w:rPr/>
        <w:t xml:space="preserve">: and power was given him over all </w:t>
      </w:r>
      <w:r>
        <w:rPr>
          <w:b w:val="1"/>
          <w:bCs w:val="1"/>
        </w:rPr>
        <w:t xml:space="preserve">kindreds, and tongues, and nations</w:t>
      </w:r>
      <w:r>
        <w:rPr/>
        <w:t xml:space="preserve"> </w:t>
      </w:r>
      <w:r>
        <w:rPr>
          <w:rStyle w:val="FootnoteReference"/>
        </w:rPr>
        <w:footnoteReference w:id="494"/>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95"/>
      </w:r>
      <w:r>
        <w:rPr/>
        <w:t xml:space="preserve"> of the </w:t>
      </w:r>
      <w:r>
        <w:rPr>
          <w:b w:val="1"/>
          <w:bCs w:val="1"/>
        </w:rPr>
        <w:t xml:space="preserve">Lamb slain</w:t>
      </w:r>
      <w:r>
        <w:rPr/>
        <w:t xml:space="preserve"> </w:t>
      </w:r>
      <w:r>
        <w:rPr>
          <w:rStyle w:val="FootnoteReference"/>
        </w:rPr>
        <w:footnoteReference w:id="496"/>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97"/>
      </w:r>
      <w:r>
        <w:rPr/>
        <w:t xml:space="preserve"> </w:t>
      </w:r>
      <w:r>
        <w:rPr>
          <w:rStyle w:val="FootnoteReference"/>
        </w:rPr>
        <w:footnoteReference w:id="498"/>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99"/>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500"/>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501"/>
      </w:r>
      <w:r>
        <w:rPr>
          <w:color w:val="4A6FA5"/>
          <w:sz w:val="18"/>
          <w:szCs w:val="18"/>
        </w:rPr>
        <w:t xml:space="preserve">) </w:t>
      </w:r>
      <w:r>
        <w:rPr/>
        <w:t xml:space="preserve"> </w:t>
      </w:r>
      <w:r>
        <w:rPr>
          <w:color w:val="4A6FA5"/>
          <w:sz w:val="18"/>
          <w:szCs w:val="18"/>
        </w:rPr>
        <w:t xml:space="preserve"> (m</w:t>
      </w:r>
      <w:r>
        <w:rPr>
          <w:rStyle w:val="FootnoteReference"/>
        </w:rPr>
        <w:footnoteReference w:id="502"/>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503"/>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504"/>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505"/>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506"/>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507"/>
      </w:r>
      <w:r>
        <w:rPr/>
        <w:t xml:space="preserve">, who had the wound by a sword, and did </w:t>
      </w:r>
      <w:r>
        <w:rPr>
          <w:b w:val="1"/>
          <w:bCs w:val="1"/>
        </w:rPr>
        <w:t xml:space="preserve">live</w:t>
      </w:r>
      <w:r>
        <w:rPr/>
        <w:t xml:space="preserve"> </w:t>
      </w:r>
      <w:r>
        <w:rPr>
          <w:rStyle w:val="FootnoteReference"/>
        </w:rPr>
        <w:footnoteReference w:id="508"/>
      </w:r>
      <w:r>
        <w:rPr/>
        <w:t xml:space="preserve"> </w:t>
      </w:r>
      <w:r>
        <w:rPr>
          <w:rStyle w:val="FootnoteReference"/>
        </w:rPr>
        <w:footnoteReference w:id="509"/>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spirit unto the </w:t>
      </w:r>
      <w:r>
        <w:rPr>
          <w:b w:val="1"/>
          <w:bCs w:val="1"/>
        </w:rPr>
        <w:t xml:space="preserve">image of the beast</w:t>
      </w:r>
      <w:r>
        <w:rPr/>
        <w:t xml:space="preserve"> </w:t>
      </w:r>
      <w:r>
        <w:rPr>
          <w:rStyle w:val="FootnoteReference"/>
        </w:rPr>
        <w:footnoteReference w:id="510"/>
      </w:r>
      <w:r>
        <w:rPr/>
        <w:t xml:space="preserve"> </w:t>
      </w:r>
      <w:r>
        <w:rPr>
          <w:rStyle w:val="FootnoteReference"/>
        </w:rPr>
        <w:footnoteReference w:id="511"/>
      </w:r>
      <w:r>
        <w:rPr/>
        <w:t xml:space="preserve">, that the </w:t>
      </w:r>
      <w:r>
        <w:rPr>
          <w:b w:val="1"/>
          <w:bCs w:val="1"/>
        </w:rPr>
        <w:t xml:space="preserve">image of the beast</w:t>
      </w:r>
      <w:r>
        <w:rPr/>
        <w:t xml:space="preserve"> </w:t>
      </w:r>
      <w:r>
        <w:rPr>
          <w:rStyle w:val="FootnoteReference"/>
        </w:rPr>
        <w:footnoteReference w:id="512"/>
      </w:r>
      <w:r>
        <w:rPr/>
        <w:t xml:space="preserve"> should both speak, and cause that as many as would not worship the </w:t>
      </w:r>
      <w:r>
        <w:rPr>
          <w:b w:val="1"/>
          <w:bCs w:val="1"/>
        </w:rPr>
        <w:t xml:space="preserve">image of the beast</w:t>
      </w:r>
      <w:r>
        <w:rPr/>
        <w:t xml:space="preserve"> </w:t>
      </w:r>
      <w:r>
        <w:rPr>
          <w:rStyle w:val="FootnoteReference"/>
        </w:rPr>
        <w:footnoteReference w:id="513"/>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514"/>
      </w:r>
      <w:r>
        <w:rPr/>
        <w:t xml:space="preserve"> in their </w:t>
      </w:r>
      <w:r>
        <w:rPr>
          <w:b w:val="1"/>
          <w:bCs w:val="1"/>
        </w:rPr>
        <w:t xml:space="preserve">right hand</w:t>
      </w:r>
      <w:r>
        <w:rPr/>
        <w:t xml:space="preserve"> </w:t>
      </w:r>
      <w:r>
        <w:rPr>
          <w:rStyle w:val="FootnoteReference"/>
        </w:rPr>
        <w:footnoteReference w:id="515"/>
      </w:r>
      <w:r>
        <w:rPr/>
        <w:t xml:space="preserve">, or in their </w:t>
      </w:r>
      <w:r>
        <w:rPr>
          <w:b w:val="1"/>
          <w:bCs w:val="1"/>
        </w:rPr>
        <w:t xml:space="preserve">foreheads</w:t>
      </w:r>
      <w:r>
        <w:rPr/>
        <w:t xml:space="preserve"> </w:t>
      </w:r>
      <w:r>
        <w:rPr>
          <w:rStyle w:val="FootnoteReference"/>
        </w:rPr>
        <w:footnoteReference w:id="516"/>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517"/>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518"/>
      </w:r>
      <w:r>
        <w:rPr/>
        <w:t xml:space="preserve">; and his number is </w:t>
      </w:r>
      <w:r>
        <w:rPr>
          <w:b w:val="1"/>
          <w:bCs w:val="1"/>
        </w:rPr>
        <w:t xml:space="preserve">six hundred sixty and six</w:t>
      </w:r>
      <w:r>
        <w:rPr/>
        <w:t xml:space="preserve"> </w:t>
      </w:r>
      <w:r>
        <w:rPr>
          <w:rStyle w:val="FootnoteReference"/>
        </w:rPr>
        <w:footnoteReference w:id="519"/>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520"/>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521"/>
      </w:r>
      <w:r>
        <w:rPr>
          <w:color w:val="4A6FA5"/>
          <w:sz w:val="18"/>
          <w:szCs w:val="18"/>
        </w:rPr>
        <w:t xml:space="preserve">) </w:t>
      </w:r>
      <w:r>
        <w:rPr/>
        <w:t xml:space="preserve"> </w:t>
      </w:r>
      <w:r>
        <w:rPr>
          <w:rStyle w:val="FootnoteReference"/>
        </w:rPr>
        <w:footnoteReference w:id="522"/>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523"/>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524"/>
      </w:r>
      <w:r>
        <w:rPr/>
        <w:t xml:space="preserve"> </w:t>
      </w:r>
      <w:r>
        <w:rPr>
          <w:rStyle w:val="FootnoteReference"/>
        </w:rPr>
        <w:footnoteReference w:id="525"/>
      </w:r>
      <w:r>
        <w:rPr/>
        <w:t xml:space="preserve"> </w:t>
      </w:r>
      <w:r>
        <w:rPr>
          <w:rStyle w:val="FootnoteReference"/>
        </w:rPr>
        <w:footnoteReference w:id="526"/>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jc w:val="left"/>
        <w:ind w:left="360" w:right="0" w:firstLine="0" w:hanging="0"/>
        <w:spacing w:after="60"/>
      </w:pPr>
      <w:r>
        <w:rPr>
          <w:sz w:val="18"/>
          <w:szCs w:val="18"/>
          <w:i w:val="1"/>
          <w:iCs w:val="1"/>
        </w:rPr>
        <w:t xml:space="preserve">[fn] It might first appear that Revelation 14:1-5 serves as a conclusion to chapters 12-13. Yet chapters 12-13 describe Israel symbolically as the “woman clothed with the sun, and the moon under her feet, and upon her head a crown of twelve stars.” Revelation 14:1 shifts away from that imagery and instead identifies the group directly by the numbered company first introduced in Revelation 7. This change in description seems to mark a boundary line between the narrative concerning the woman and the three beasts, and the narrative concerning the Lamb and the 144,000—even though the woman and the 144,000 appear to represent the same group from different perspectives.</w:t>
      </w:r>
    </w:p>
    <w:p>
      <w:pPr>
        <w:spacing w:after="150"/>
      </w:pPr>
      <w:r>
        <w:rPr/>
        <w:t xml:space="preserve"/>
      </w:r>
    </w:p>
    <w:p>
      <w:pPr>
        <w:pStyle w:val="Heading3"/>
      </w:pPr>
      <w:bookmarkStart w:id="69" w:name="_Toc69"/>
      <w:r>
        <w:t>Voice of Thunder, Voice of Harpers</w:t>
      </w:r>
      <w:bookmarkEnd w:id="69"/>
    </w:p>
    <w:p>
      <w:pPr>
        <w:pStyle w:val="SectionBody"/>
      </w:pPr>
      <w:r>
        <w:rPr/>
        <w:t xml:space="preserve">Important Note: Revelation 14:2 may be understood in one of two ways: either as a single unified heavenly sound associated with the harpers, or as two distinct auditory sources—a heavenly voice described as “many waters” and “great thunder,” alongside the separate sound of harpers proceeding from the same heavenly realm. While the grammar permits either reading, the broader textual evidence leans slightly toward the latter interpretation: a unified heavenly scene composed of two distinguishable sounds.</w:t>
      </w:r>
    </w:p>
    <w:p>
      <w:pPr>
        <w:pStyle w:val="SectionBody"/>
      </w:pPr>
      <w:r>
        <w:rPr/>
        <w:t xml:space="preserve">Notably, Revelation 14:2 uses the singular expression “a great thunder” to describe the sound at first, which is odd if it is meant to represent a collective or multitudinous sound — we would expect the plural, like "many great thunders" if the group is a collective. In fact, Revelation 19:6 does just that. It employs the plural “thunders” in connection with a great multitude. This makes Revelation 14:2 a uniquely compressed construction, in which a singular sound can appear to encompass what could otherwise be expressed in plural form.</w:t>
      </w:r>
    </w:p>
    <w:p>
      <w:pPr>
        <w:pStyle w:val="SectionBody"/>
      </w:pPr>
      <w:r>
        <w:rPr/>
        <w:t xml:space="preserve">Further, Revelation 14:2 is distinctive in that John twice states that he “heard” the voice from heaven. This repetition is unusual. In Revelation 19:6, John describes a similar and composite heavenly sound, yet he does not divide the description by repeating the verb “heard” as he does in 14:2. These features together suggest that John may intentionally be distinguishing two heavenly sounds: first, by alternating between singular and plural forms, and second, by separating the auditory descriptions through repeated statements of "hearing", as both proceed from the same heavenly source.</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527"/>
      </w:r>
      <w:r>
        <w:rPr/>
        <w:t xml:space="preserve">, as the </w:t>
      </w:r>
      <w:r>
        <w:rPr>
          <w:b w:val="1"/>
          <w:bCs w:val="1"/>
        </w:rPr>
        <w:t xml:space="preserve">voice of many waters</w:t>
      </w:r>
      <w:r>
        <w:rPr/>
        <w:t xml:space="preserve"> </w:t>
      </w:r>
      <w:r>
        <w:rPr>
          <w:rStyle w:val="FootnoteReference"/>
        </w:rPr>
        <w:footnoteReference w:id="528"/>
      </w:r>
      <w:r>
        <w:rPr/>
        <w:t xml:space="preserve">, and as the voice of a great </w:t>
      </w:r>
      <w:r>
        <w:rPr>
          <w:b w:val="1"/>
          <w:bCs w:val="1"/>
        </w:rPr>
        <w:t xml:space="preserve">thunder</w:t>
      </w:r>
      <w:r>
        <w:rPr/>
        <w:t xml:space="preserve"> </w:t>
      </w:r>
      <w:r>
        <w:rPr>
          <w:rStyle w:val="FootnoteReference"/>
        </w:rPr>
        <w:footnoteReference w:id="529"/>
      </w:r>
      <w:r>
        <w:rPr/>
        <w:t xml:space="preserve"> </w:t>
      </w:r>
      <w:r>
        <w:rPr>
          <w:rStyle w:val="FootnoteReference"/>
        </w:rPr>
        <w:footnoteReference w:id="530"/>
      </w:r>
      <w:r>
        <w:rPr/>
        <w:t xml:space="preserve"> </w:t>
      </w:r>
      <w:r>
        <w:rPr>
          <w:color w:val="4A6FA5"/>
          <w:sz w:val="18"/>
          <w:szCs w:val="18"/>
        </w:rPr>
        <w:t xml:space="preserve"> (ja</w:t>
      </w:r>
      <w:r>
        <w:rPr>
          <w:rStyle w:val="FootnoteReference"/>
        </w:rPr>
        <w:footnoteReference w:id="531"/>
      </w:r>
      <w:r>
        <w:rPr>
          <w:color w:val="4A6FA5"/>
          <w:sz w:val="18"/>
          <w:szCs w:val="18"/>
        </w:rPr>
        <w:t xml:space="preserve">) </w:t>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532"/>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 The only voice at this point with a singular voice of many waters is Jesus; thus, the text of this verse may be communicating the ascension of Jesus as the Lamb from Mount Zion into heaven, much like the ascension into heaven of the man child in Revelation 12:5 to the same place, at the throne.</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533"/>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534"/>
      </w:r>
      <w:r>
        <w:rPr/>
        <w:t xml:space="preserve">, and the </w:t>
      </w:r>
      <w:r>
        <w:rPr>
          <w:b w:val="1"/>
          <w:bCs w:val="1"/>
        </w:rPr>
        <w:t xml:space="preserve">elders</w:t>
      </w:r>
      <w:r>
        <w:rPr/>
        <w:t xml:space="preserve"> </w:t>
      </w:r>
      <w:r>
        <w:rPr>
          <w:rStyle w:val="FootnoteReference"/>
        </w:rPr>
        <w:footnoteReference w:id="535"/>
      </w:r>
      <w:r>
        <w:rPr/>
        <w:t xml:space="preserve">: and none could learn that song but the </w:t>
      </w:r>
      <w:r>
        <w:rPr>
          <w:b w:val="1"/>
          <w:bCs w:val="1"/>
        </w:rPr>
        <w:t xml:space="preserve">hundred and forty and four thousand</w:t>
      </w:r>
      <w:r>
        <w:rPr/>
        <w:t xml:space="preserve"> </w:t>
      </w:r>
      <w:r>
        <w:rPr>
          <w:rStyle w:val="FootnoteReference"/>
        </w:rPr>
        <w:footnoteReference w:id="536"/>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537"/>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538"/>
      </w:r>
      <w:r>
        <w:rPr/>
        <w:t xml:space="preserve">. These are they who </w:t>
      </w:r>
      <w:r>
        <w:rPr>
          <w:b w:val="1"/>
          <w:bCs w:val="1"/>
        </w:rPr>
        <w:t xml:space="preserve">follow the Lamb wherever he goes</w:t>
      </w:r>
      <w:r>
        <w:rPr/>
        <w:t xml:space="preserve"> </w:t>
      </w:r>
      <w:r>
        <w:rPr>
          <w:rStyle w:val="FootnoteReference"/>
        </w:rPr>
        <w:footnoteReference w:id="539"/>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540"/>
      </w:r>
      <w:r>
        <w:rPr>
          <w:color w:val="4A6FA5"/>
          <w:sz w:val="18"/>
          <w:szCs w:val="18"/>
        </w:rPr>
        <w:t xml:space="preserve">) </w:t>
      </w:r>
      <w:r>
        <w:rPr/>
        <w:t xml:space="preserve"> from among men, being the </w:t>
      </w:r>
      <w:r>
        <w:rPr>
          <w:b w:val="1"/>
          <w:bCs w:val="1"/>
        </w:rPr>
        <w:t xml:space="preserve">firstfruits</w:t>
      </w:r>
      <w:r>
        <w:rPr>
          <w:rStyle w:val="FootnoteReference"/>
        </w:rPr>
        <w:footnoteReference w:id="541"/>
      </w:r>
      <w:r>
        <w:rPr/>
        <w:t xml:space="preserve">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w:t>
      </w:r>
      <w:r>
        <w:rPr>
          <w:b w:val="1"/>
          <w:bCs w:val="1"/>
        </w:rPr>
        <w:t xml:space="preserve">no guile</w:t>
      </w:r>
      <w:r>
        <w:rPr/>
        <w:t xml:space="preserve"> </w:t>
      </w:r>
      <w:r>
        <w:rPr>
          <w:rStyle w:val="FootnoteReference"/>
        </w:rPr>
        <w:footnoteReference w:id="542"/>
      </w:r>
      <w:r>
        <w:rPr/>
        <w:t xml:space="preserve">: for they are </w:t>
      </w:r>
      <w:r>
        <w:rPr>
          <w:b w:val="1"/>
          <w:bCs w:val="1"/>
        </w:rPr>
        <w:t xml:space="preserve">without fault</w:t>
      </w:r>
      <w:r>
        <w:rPr>
          <w:rStyle w:val="FootnoteReference"/>
        </w:rPr>
        <w:footnoteReference w:id="543"/>
      </w:r>
      <w:r>
        <w:rPr/>
        <w:t xml:space="preserve">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w:t>
      </w:r>
      <w:r>
        <w:rPr>
          <w:b w:val="1"/>
          <w:bCs w:val="1"/>
        </w:rPr>
        <w:t xml:space="preserve">fly</w:t>
      </w:r>
      <w:r>
        <w:rPr>
          <w:rStyle w:val="FootnoteReference"/>
        </w:rPr>
        <w:footnoteReference w:id="544"/>
      </w:r>
      <w:r>
        <w:rPr/>
        <w:t xml:space="preserve">  in </w:t>
      </w:r>
      <w:r>
        <w:rPr>
          <w:b w:val="1"/>
          <w:bCs w:val="1"/>
        </w:rPr>
        <w:t xml:space="preserve">midheaven</w:t>
      </w:r>
      <w:r>
        <w:rPr/>
        <w:t xml:space="preserve"> </w:t>
      </w:r>
      <w:r>
        <w:rPr>
          <w:rStyle w:val="FootnoteReference"/>
        </w:rPr>
        <w:footnoteReference w:id="545"/>
      </w:r>
      <w:r>
        <w:rPr/>
        <w:t xml:space="preserve">, having the </w:t>
      </w:r>
      <w:r>
        <w:rPr>
          <w:b w:val="1"/>
          <w:bCs w:val="1"/>
        </w:rPr>
        <w:t xml:space="preserve">everlasting gospel</w:t>
      </w:r>
      <w:r>
        <w:rPr/>
        <w:t xml:space="preserve"> </w:t>
      </w:r>
      <w:r>
        <w:rPr>
          <w:rStyle w:val="FootnoteReference"/>
        </w:rPr>
        <w:footnoteReference w:id="546"/>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47"/>
      </w:r>
      <w:r>
        <w:rPr/>
        <w:t xml:space="preserve">,</w:t>
      </w:r>
    </w:p>
    <w:p>
      <w:pPr>
        <w:jc w:val="left"/>
        <w:ind w:left="360" w:right="0" w:firstLine="0" w:hanging="0"/>
        <w:spacing w:after="60"/>
      </w:pPr>
      <w:r>
        <w:rPr>
          <w:sz w:val="18"/>
          <w:szCs w:val="18"/>
          <w:i w:val="1"/>
          <w:iCs w:val="1"/>
        </w:rPr>
        <w:t xml:space="preserve">[fn] Any time Revelation uses the verb πέτομαι (“to fly”), it consistently relates to birds or explicitly an eagle (4:7; 8:13; 12:14; 14:6; 19:17). In Revelation 14:6–9, the identities of the three angels are intentionally understated so that the reader’s focus remains on their message. Yet because the first of them in 14:6 is described as flying, the action of flying may suggest an eagle-like messenger, similar to the one in 8:13. Thus, it may be that an eagle-like messenger serves as the means by which the gospel is proclaimed to the whole world before the end comes.</w:t>
      </w:r>
    </w:p>
    <w:p>
      <w:pPr>
        <w:jc w:val="left"/>
        <w:ind w:left="360" w:right="0" w:firstLine="0" w:hanging="0"/>
        <w:spacing w:after="60"/>
      </w:pPr>
      <w:r>
        <w:rPr>
          <w:sz w:val="18"/>
          <w:szCs w:val="18"/>
          <w:i w:val="1"/>
          <w:iCs w:val="1"/>
        </w:rPr>
        <w:t xml:space="preserve">[fn] The book of Revelation is notably precise in its use of numbers — 666, 1260 days, 4 winds, 24 elders, and so on. When it speaks of “a messenger,” it presents a singular figure, which is significant for understanding how the gospel is proclaimed to the whole world at that time. The emphasis falls not on many agents acting independently, but on a single messenger with a unified identity—one that may even be portrayed with eagle-like imagery.
At the same time, this does not necessarily require that the messenger be a single human, angelic being, or created entity in a strictly literal sense. Given the symbolic nature of Revelation, it could represent a singular, identifiable means or agency through which the message goes forth—something depicted as a flying messenger, perhaps in the likeness of an eagle.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48"/>
      </w:r>
      <w:r>
        <w:rPr/>
        <w:t xml:space="preserve">, and give glory to him; for the </w:t>
      </w:r>
      <w:r>
        <w:rPr>
          <w:b w:val="1"/>
          <w:bCs w:val="1"/>
        </w:rPr>
        <w:t xml:space="preserve">hour of his judgment</w:t>
      </w:r>
      <w:r>
        <w:rPr/>
        <w:t xml:space="preserve"> </w:t>
      </w:r>
      <w:r>
        <w:rPr>
          <w:rStyle w:val="FootnoteReference"/>
        </w:rPr>
        <w:footnoteReference w:id="549"/>
      </w:r>
      <w:r>
        <w:rPr/>
        <w:t xml:space="preserve"> is come: and </w:t>
      </w:r>
      <w:r>
        <w:rPr>
          <w:b w:val="1"/>
          <w:bCs w:val="1"/>
        </w:rPr>
        <w:t xml:space="preserve">worship him</w:t>
      </w:r>
      <w:r>
        <w:rPr/>
        <w:t xml:space="preserve"> </w:t>
      </w:r>
      <w:r>
        <w:rPr>
          <w:rStyle w:val="FootnoteReference"/>
        </w:rPr>
        <w:footnoteReference w:id="550"/>
      </w:r>
      <w:r>
        <w:rPr/>
        <w:t xml:space="preserve"> </w:t>
      </w:r>
      <w:r>
        <w:rPr>
          <w:b w:val="1"/>
          <w:bCs w:val="1"/>
        </w:rPr>
        <w:t xml:space="preserve">who made heaven, and earth, and the sea, and the fountains of waters</w:t>
      </w:r>
      <w:r>
        <w:rPr/>
        <w:t xml:space="preserve"> </w:t>
      </w:r>
      <w:r>
        <w:rPr>
          <w:rStyle w:val="FootnoteReference"/>
        </w:rPr>
        <w:footnoteReference w:id="551"/>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refer to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pStyle w:val="SectionBody"/>
      </w:pPr>
      <w:r>
        <w:rPr>
          <w:b w:val="1"/>
          <w:bCs w:val="1"/>
        </w:rPr>
        <w:t xml:space="preserve">VERY Important Note:</w:t>
      </w:r>
      <w:r>
        <w:rPr/>
        <w:t xml:space="preserve"> If Mystery Babylon falls after the 7th vial, the next message is significantly out of place. The next message warns against taking the mark of the beast. Given that the mark is present at the first vial plague and the warning against follows the fall of Mystery Babylon, we should place the fall of Mystery Babylon well before any of the vial plagues.  In fact, we should place the fall before the 5th seal at least, as the likeness of the 5th seal's "rest" of the saints is mentioned in Revelation 14:12, and that "rest" comes after the warning against the mark of the beast.</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52"/>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53"/>
      </w:r>
      <w:r>
        <w:rPr>
          <w:color w:val="4A6FA5"/>
          <w:sz w:val="18"/>
          <w:szCs w:val="18"/>
        </w:rPr>
        <w:t xml:space="preserve">) </w:t>
      </w:r>
      <w:r>
        <w:rPr/>
        <w:t xml:space="preserve"> </w:t>
      </w:r>
      <w:r>
        <w:rPr>
          <w:rStyle w:val="FootnoteReference"/>
        </w:rPr>
        <w:footnoteReference w:id="554"/>
      </w:r>
      <w:r>
        <w:rPr/>
        <w:t xml:space="preserve">, she who made all nations </w:t>
      </w:r>
      <w:r>
        <w:rPr>
          <w:b w:val="1"/>
          <w:bCs w:val="1"/>
        </w:rPr>
        <w:t xml:space="preserve">drink of the wine of the fury of her fornication</w:t>
      </w:r>
      <w:r>
        <w:rPr/>
        <w:t xml:space="preserve"> </w:t>
      </w:r>
      <w:r>
        <w:rPr>
          <w:rStyle w:val="FootnoteReference"/>
        </w:rPr>
        <w:footnoteReference w:id="555"/>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jc w:val="left"/>
        <w:ind w:left="360" w:right="0" w:firstLine="0" w:hanging="0"/>
        <w:spacing w:after="60"/>
      </w:pPr>
      <w:r>
        <w:rPr>
          <w:sz w:val="18"/>
          <w:szCs w:val="18"/>
          <w:i w:val="1"/>
          <w:iCs w:val="1"/>
        </w:rPr>
        <w:t xml:space="preserve">[fn] All the messengers that speak in Revelation 14 speak in a great voice except this messenger. Making this messenger standout from the others, calling attention to it and the reader to ask, "why does this messenger not speak greatly as all the others have?" The answer may be found in Revelation 18:2, the angel there calls out with a "strong voice" and it says the same as this messenger "is fallen, is fallen Babylon the great". If the messenger in 18:2 is the same as the one in 14:8 than it is implied that this standout messenger also calls out greatly. Meaning, all the messengers in Revelation do call out with a great or strong speech.</w:t>
      </w:r>
    </w:p>
    <w:p>
      <w:pPr>
        <w:jc w:val="left"/>
        <w:ind w:left="360" w:right="0" w:firstLine="0" w:hanging="0"/>
        <w:spacing w:after="60"/>
      </w:pPr>
      <w:r>
        <w:rPr>
          <w:sz w:val="18"/>
          <w:szCs w:val="18"/>
          <w:i w:val="1"/>
          <w:iCs w:val="1"/>
        </w:rPr>
        <w:t xml:space="preserve">[fn] Some commentators see Revelation 14:8 as an anticipatory or summary announcement of Babylon’s fall, with the fuller description developed later in Revelation 16:19 and especially Revelation 17-18. Such a claim is an interpretive decision, and it is not projected by the text on its own. It seems more likely that it is the same moment as in Revelation 17-18, rather than an anticipatory announcement. This is supported by the text, which states that Babylon has fallen. It does not say "will fall, will fall Babylon the great." The context does not allow for this kind of reading on its own, so it is an interpretive decision. This study takes the past tense of "is fallen" as being accurate.</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56"/>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57"/>
      </w:r>
      <w:r>
        <w:rPr/>
        <w:t xml:space="preserve">, and receive his </w:t>
      </w:r>
      <w:r>
        <w:rPr>
          <w:b w:val="1"/>
          <w:bCs w:val="1"/>
        </w:rPr>
        <w:t xml:space="preserve">mark</w:t>
      </w:r>
      <w:r>
        <w:rPr/>
        <w:t xml:space="preserve"> </w:t>
      </w:r>
      <w:r>
        <w:rPr>
          <w:rStyle w:val="FootnoteReference"/>
        </w:rPr>
        <w:footnoteReference w:id="558"/>
      </w:r>
      <w:r>
        <w:rPr/>
        <w:t xml:space="preserve"> in his </w:t>
      </w:r>
      <w:r>
        <w:rPr>
          <w:b w:val="1"/>
          <w:bCs w:val="1"/>
        </w:rPr>
        <w:t xml:space="preserve">forehead</w:t>
      </w:r>
      <w:r>
        <w:rPr/>
        <w:t xml:space="preserve"> </w:t>
      </w:r>
      <w:r>
        <w:rPr>
          <w:rStyle w:val="FootnoteReference"/>
        </w:rPr>
        <w:footnoteReference w:id="559"/>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fury of God</w:t>
      </w:r>
      <w:r>
        <w:rPr/>
        <w:t xml:space="preserve"> </w:t>
      </w:r>
      <w:r>
        <w:rPr>
          <w:rStyle w:val="FootnoteReference"/>
        </w:rPr>
        <w:footnoteReference w:id="560"/>
      </w:r>
      <w:r>
        <w:rPr/>
        <w:t xml:space="preserve">, which is poured out without mixture into the cup of </w:t>
      </w:r>
      <w:r>
        <w:rPr>
          <w:b w:val="1"/>
          <w:bCs w:val="1"/>
        </w:rPr>
        <w:t xml:space="preserve">his wrath</w:t>
      </w:r>
      <w:r>
        <w:rPr/>
        <w:t xml:space="preserve"> </w:t>
      </w:r>
      <w:r>
        <w:rPr>
          <w:rStyle w:val="FootnoteReference"/>
        </w:rPr>
        <w:footnoteReference w:id="561"/>
      </w:r>
      <w:r>
        <w:rPr/>
        <w:t xml:space="preserve">; and he shall be tormented with </w:t>
      </w:r>
      <w:r>
        <w:rPr>
          <w:b w:val="1"/>
          <w:bCs w:val="1"/>
        </w:rPr>
        <w:t xml:space="preserve">fire and brimstone</w:t>
      </w:r>
      <w:r>
        <w:rPr/>
        <w:t xml:space="preserve"> </w:t>
      </w:r>
      <w:r>
        <w:rPr>
          <w:rStyle w:val="FootnoteReference"/>
        </w:rPr>
        <w:footnoteReference w:id="562"/>
      </w:r>
      <w:r>
        <w:rPr/>
        <w:t xml:space="preserve"> in the presence of the </w:t>
      </w:r>
      <w:r>
        <w:rPr>
          <w:b w:val="1"/>
          <w:bCs w:val="1"/>
        </w:rPr>
        <w:t xml:space="preserve">holy messengers</w:t>
      </w:r>
      <w:r>
        <w:rPr/>
        <w:t xml:space="preserve"> </w:t>
      </w:r>
      <w:r>
        <w:rPr>
          <w:rStyle w:val="FootnoteReference"/>
        </w:rPr>
        <w:footnoteReference w:id="563"/>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fury in a cup of wrath is not yet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jc w:val="left"/>
        <w:ind w:left="360" w:right="0" w:firstLine="0" w:hanging="0"/>
        <w:spacing w:after="60"/>
      </w:pPr>
      <w:r>
        <w:rPr>
          <w:sz w:val="18"/>
          <w:szCs w:val="18"/>
          <w:i w:val="1"/>
          <w:iCs w:val="1"/>
        </w:rPr>
        <w:t xml:space="preserve">[fn] Here in Revelation 14:10, we see an important distinction in the use of ὀργή and θυμός. Paul uses ὀργή to describe the coming wrath of God—one from which the followers of Jesus are not destined, but from which they receive salvation (1 Thessalonians 5:9; 1 Thessalonians 1:10). This wrath is directed toward the “children of disobedience” (Ephesians 5:6). By contrast, the term θυμός is never used by Paul to describe this particular aspect of divine wrath but is paird at times with ὀργή. Here in 14:10, we see this type of pairing.
θυμός is used here in relation to the winepress of God's fury (θυμός), while ὀργή first appears in Revelation 6:16 (the time of the 6th seal plague, which is before the 1st trumpet plague). This distinction suggests that the kind of wrath Paul describes is associated with events that occur prior to the seven trumpet plagues at the latest. This level of distinction is not without precedent; for example, in Col 3:8 and Eph 4:31, ὀργή and θυμός are distinguished from one another, and Revelation 14:10, 16:19, and 19:15 distinguish them as well.</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64"/>
      </w:r>
      <w:r>
        <w:rPr/>
        <w:t xml:space="preserve">, and whosoever receives the </w:t>
      </w:r>
      <w:r>
        <w:rPr>
          <w:b w:val="1"/>
          <w:bCs w:val="1"/>
        </w:rPr>
        <w:t xml:space="preserve">mark of his name</w:t>
      </w:r>
      <w:r>
        <w:rPr/>
        <w:t xml:space="preserve"> </w:t>
      </w:r>
      <w:r>
        <w:rPr>
          <w:rStyle w:val="FootnoteReference"/>
        </w:rPr>
        <w:footnoteReference w:id="565"/>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66"/>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67"/>
      </w:r>
      <w:r>
        <w:rPr/>
        <w:t xml:space="preserve"> </w:t>
      </w:r>
      <w:r>
        <w:rPr>
          <w:color w:val="4A6FA5"/>
          <w:sz w:val="18"/>
          <w:szCs w:val="18"/>
        </w:rPr>
        <w:t xml:space="preserve"> (m</w:t>
      </w:r>
      <w:r>
        <w:rPr>
          <w:rStyle w:val="FootnoteReference"/>
        </w:rPr>
        <w:footnoteReference w:id="568"/>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69"/>
      </w:r>
      <w:r>
        <w:rPr>
          <w:color w:val="4A6FA5"/>
          <w:sz w:val="18"/>
          <w:szCs w:val="18"/>
        </w:rPr>
        <w:t xml:space="preserve">) </w:t>
      </w:r>
      <w:r>
        <w:rPr/>
        <w:t xml:space="preserve"> </w:t>
      </w:r>
      <w:r>
        <w:rPr>
          <w:rStyle w:val="FootnoteReference"/>
        </w:rPr>
        <w:footnoteReference w:id="570"/>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71"/>
      </w:r>
      <w:r>
        <w:rPr/>
        <w:t xml:space="preserve"> saying unto me, </w:t>
      </w:r>
      <w:r>
        <w:rPr>
          <w:b w:val="1"/>
          <w:bCs w:val="1"/>
        </w:rPr>
        <w:t xml:space="preserve">Write</w:t>
      </w:r>
      <w:r>
        <w:rPr/>
        <w:t xml:space="preserve"> </w:t>
      </w:r>
      <w:r>
        <w:rPr>
          <w:rStyle w:val="FootnoteReference"/>
        </w:rPr>
        <w:footnoteReference w:id="572"/>
      </w:r>
      <w:r>
        <w:rPr/>
        <w:t xml:space="preserve">, </w:t>
      </w:r>
      <w:r>
        <w:rPr>
          <w:b w:val="1"/>
          <w:bCs w:val="1"/>
        </w:rPr>
        <w:t xml:space="preserve">Blessed</w:t>
      </w:r>
      <w:r>
        <w:rPr/>
        <w:t xml:space="preserve"> </w:t>
      </w:r>
      <w:r>
        <w:rPr>
          <w:rStyle w:val="FootnoteReference"/>
        </w:rPr>
        <w:footnoteReference w:id="573"/>
      </w:r>
      <w:r>
        <w:rPr/>
        <w:t xml:space="preserve"> are the dead who die in the Lord from henceforth: </w:t>
      </w:r>
      <w:r>
        <w:rPr>
          <w:b w:val="1"/>
          <w:bCs w:val="1"/>
        </w:rPr>
        <w:t xml:space="preserve">Yea, says the Spirit,</w:t>
      </w:r>
      <w:r>
        <w:rPr/>
        <w:t xml:space="preserve"> </w:t>
      </w:r>
      <w:r>
        <w:rPr>
          <w:rStyle w:val="FootnoteReference"/>
        </w:rPr>
        <w:footnoteReference w:id="574"/>
      </w:r>
      <w:r>
        <w:rPr/>
        <w:t xml:space="preserve"> </w:t>
      </w:r>
      <w:r>
        <w:rPr>
          <w:rStyle w:val="FootnoteReference"/>
        </w:rPr>
        <w:footnoteReference w:id="575"/>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76"/>
      </w:r>
      <w:r>
        <w:rPr>
          <w:color w:val="4A6FA5"/>
          <w:sz w:val="18"/>
          <w:szCs w:val="18"/>
        </w:rPr>
        <w:t xml:space="preserve">) </w:t>
      </w:r>
      <w:r>
        <w:rPr/>
        <w:t xml:space="preserve"> from their </w:t>
      </w:r>
      <w:r>
        <w:rPr>
          <w:b w:val="1"/>
          <w:bCs w:val="1"/>
        </w:rPr>
        <w:t xml:space="preserve">toil</w:t>
      </w:r>
      <w:r>
        <w:rPr/>
        <w:t xml:space="preserve"> </w:t>
      </w:r>
      <w:r>
        <w:rPr>
          <w:rStyle w:val="FootnoteReference"/>
        </w:rPr>
        <w:footnoteReference w:id="577"/>
      </w:r>
      <w:r>
        <w:rPr/>
        <w:t xml:space="preserve">; and their </w:t>
      </w:r>
      <w:r>
        <w:rPr>
          <w:b w:val="1"/>
          <w:bCs w:val="1"/>
        </w:rPr>
        <w:t xml:space="preserve">works</w:t>
      </w:r>
      <w:r>
        <w:rPr/>
        <w:t xml:space="preserve"> do follow with them </w:t>
      </w:r>
      <w:r>
        <w:rPr>
          <w:rStyle w:val="FootnoteReference"/>
        </w:rPr>
        <w:footnoteReference w:id="578"/>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 — Angels Exit Temple, White Cloud</w:t>
      </w:r>
      <w:bookmarkEnd w:id="76"/>
    </w:p>
    <w:p>
      <w:pPr>
        <w:pStyle w:val="SectionBody"/>
      </w:pPr>
      <w:r>
        <w:rPr>
          <w:b w:val="1"/>
          <w:bCs w:val="1"/>
        </w:rPr>
        <w:t xml:space="preserve">Parenthetical Scene 5.3:</w:t>
      </w:r>
      <w:r>
        <w:rPr/>
        <w:t xml:space="preserve"> Here we see the harvest and then the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fury of God can come, but not until the temple is empty, which does not happen until Revelation 15:6.</w:t>
      </w:r>
    </w:p>
    <w:p>
      <w:pPr>
        <w:spacing w:after="150"/>
      </w:pPr>
      <w:r>
        <w:rPr/>
        <w:t xml:space="preserve"/>
      </w:r>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79"/>
      </w:r>
      <w:r>
        <w:rPr/>
        <w:t xml:space="preserve"> like unto the </w:t>
      </w:r>
      <w:r>
        <w:rPr>
          <w:b w:val="1"/>
          <w:bCs w:val="1"/>
        </w:rPr>
        <w:t xml:space="preserve">Son of man</w:t>
      </w:r>
      <w:r>
        <w:rPr/>
        <w:t xml:space="preserve"> </w:t>
      </w:r>
      <w:r>
        <w:rPr>
          <w:rStyle w:val="FootnoteReference"/>
        </w:rPr>
        <w:footnoteReference w:id="580"/>
      </w:r>
      <w:r>
        <w:rPr/>
        <w:t xml:space="preserve">, having on his head a </w:t>
      </w:r>
      <w:r>
        <w:rPr>
          <w:b w:val="1"/>
          <w:bCs w:val="1"/>
        </w:rPr>
        <w:t xml:space="preserve">golden crown</w:t>
      </w:r>
      <w:r>
        <w:rPr/>
        <w:t xml:space="preserve"> </w:t>
      </w:r>
      <w:r>
        <w:rPr>
          <w:rStyle w:val="FootnoteReference"/>
        </w:rPr>
        <w:footnoteReference w:id="581"/>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82"/>
      </w:r>
      <w:r>
        <w:rPr/>
        <w:t xml:space="preserve"> of the </w:t>
      </w:r>
      <w:r>
        <w:rPr>
          <w:b w:val="1"/>
          <w:bCs w:val="1"/>
        </w:rPr>
        <w:t xml:space="preserve">temple</w:t>
      </w:r>
      <w:r>
        <w:rPr/>
        <w:t xml:space="preserve"> </w:t>
      </w:r>
      <w:r>
        <w:rPr>
          <w:rStyle w:val="FootnoteReference"/>
        </w:rPr>
        <w:footnoteReference w:id="583"/>
      </w:r>
      <w:r>
        <w:rPr/>
        <w:t xml:space="preserve">, crying with a great voice to </w:t>
      </w:r>
      <w:r>
        <w:rPr>
          <w:b w:val="1"/>
          <w:bCs w:val="1"/>
        </w:rPr>
        <w:t xml:space="preserve">him who sat on the cloud</w:t>
      </w:r>
      <w:r>
        <w:rPr/>
        <w:t xml:space="preserve"> </w:t>
      </w:r>
      <w:r>
        <w:rPr>
          <w:rStyle w:val="FootnoteReference"/>
        </w:rPr>
        <w:footnoteReference w:id="584"/>
      </w:r>
      <w:r>
        <w:rPr/>
        <w:t xml:space="preserve">, Send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85"/>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86"/>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7" w:name="_Toc77"/>
      <w:r>
        <w:t>Pre-Vial Reaping</w:t>
      </w:r>
      <w:bookmarkEnd w:id="77"/>
    </w:p>
    <w:p>
      <w:pPr>
        <w:pStyle w:val="SectionBody"/>
      </w:pPr>
      <w:r>
        <w:rPr>
          <w:b w:val="1"/>
          <w:bCs w:val="1"/>
        </w:rPr>
        <w:t xml:space="preserve">Important Note:</w:t>
      </w:r>
      <w:r>
        <w:rPr/>
        <w:t xml:space="preserve"> This is the time when Jesus reaps his people from the earth to bring them to the ongoing wedding and just before the fury of God.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 unless Revelation omits the detail of the dead being raised.</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87"/>
      </w:r>
      <w:r>
        <w:rPr/>
        <w:t xml:space="preserve"> cast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88"/>
      </w:r>
      <w:r>
        <w:rPr>
          <w:color w:val="4A6FA5"/>
          <w:sz w:val="18"/>
          <w:szCs w:val="18"/>
        </w:rPr>
        <w:t xml:space="preserve">) </w:t>
      </w:r>
      <w:r>
        <w:rPr/>
        <w:t xml:space="preserve"> </w:t>
      </w:r>
      <w:r>
        <w:rPr>
          <w:rStyle w:val="FootnoteReference"/>
        </w:rPr>
        <w:footnoteReference w:id="589"/>
      </w:r>
      <w:r>
        <w:rPr/>
        <w:t xml:space="preserve">.</w:t>
      </w:r>
    </w:p>
    <w:p>
      <w:pPr>
        <w:jc w:val="left"/>
        <w:ind w:left="360" w:right="0" w:firstLine="0" w:hanging="0"/>
        <w:spacing w:after="60"/>
      </w:pPr>
      <w:r>
        <w:rPr>
          <w:sz w:val="18"/>
          <w:szCs w:val="18"/>
          <w:i w:val="1"/>
          <w:iCs w:val="1"/>
        </w:rPr>
        <w:t xml:space="preserve">[fn] What Paul describes concerning the catching up of believers in 1 Thessalonians 4-5, which the modern church has labeled “the rapture.” There is no such term in all of Scripture as “the rapture,” nor does Scripture explicitly state that every catching-up or gathering passage refers to one singular event that should be identified as the one and only “rapture.” Scripture describes events by their characteristics, not by later theological labels. Thus, if the characteristics of one event are distinct enough from another seemingly similar event, and even conflict with it in meaningful ways, this does not necessarily indicate an error or contradiction. More likely, it points to two different events that share similarities but are not the same event. Therefore, this study does not refer to the event in Revelation 14:16 as a “rapture,” but as a “reaping,” because that is the language Scripture itself uses to describe it.</w:t>
      </w:r>
    </w:p>
    <w:p>
      <w:pPr>
        <w:jc w:val="left"/>
        <w:ind w:left="360" w:right="0" w:firstLine="0" w:hanging="0"/>
        <w:spacing w:after="60"/>
      </w:pPr>
      <w:r>
        <w:rPr>
          <w:sz w:val="18"/>
          <w:szCs w:val="18"/>
          <w:i w:val="1"/>
          <w:iCs w:val="1"/>
        </w:rPr>
        <w:t xml:space="preserve">[fn] In Rev. 14:16, it appears Jesus reaps the earth of the saints and the 144,000. The most mysterious question, though, is when this reaping happens, again positing that this reaping is for the saints during the tribulation of seven years. Does it occur at the 7th trumpet, after the vial plagues, or perhaps at the 6th seal? Now, this study has already made it clear that the seals, trumpets, and vial plagues cannot overlap in sequence based on exegesis. This means seals 1–7 are followed in time by trumpets 1–7, and the trumpets by vials 1–7. But can we apply the same exegesis to understand the timing of this reaping? Using exegesis, can we determine the leading and proceeding events? Yes.
During the Vials: No
The Son of Man on the clouds appears as angels are exiting the temple. Therefore, this moment cannot occur during any of the seven vial plagues because Rev. 15:8 makes it clear that “none can enter” the temple during the vial plagues. Thus, none can exit the temple either, because none can be in it.
After the Vials? No.
In Rev. 15:1–5, we see those who have overcome the beast in heaven (who are not identified as having died) before any of the vials. Seeing them described as having victory over the beast implies they were on earth during his rule. Thus, if these have come to heaven from earth before the vials, it causes us to inquire how they arrived there. However, this does not immediately mean they have just arrived at that time. It only means they are there by that point. They could have appeared there at any time after the mark of the beast was given.
Before the Mark of the Beast? No.
The reaping cannot happen before the mark of the beast. Not because those in Rev. 15:1–5 have victory over the mark — they do not necessarily need to arrive there through a particular means, though the evidence is mounting in favor of these events being connected. It is actually Revelation 14:12 that makes this clear. In that verse, “the patience of the saints” (Rev. 13:10 and 14:12) is specifically connected to enduring through the rule of the beast and his mark. Since 14:12 comes before 14:16, we can understand such a timing. And it agrees with the saints in Rev. 15:1–5. But when do they actually get there? Right after the mark is given? Long after it is given?
Before the 5th Seal? No.
In Rev. 6:11, we are told that the saints “rest.” This rest is directly connected to “the patience of the saints” and the “rest” of the saints in Rev. 14:13. If we know by now that the reaping happens after “the patience of the saints,” and the “rest” in 6:11 is connected to that same moment, then the reaping cannot occur before the 5th seal.
During Trumpet Plagues 1–5? No.
Rev. 9:4 says that during the 5th trumpet plague the 144,000 are still present, because it implies they are there: “only those men who have not the seal of God in their foreheads” are harmed by the plague of the 5th trumpet. Thus, this leaves the reaping only within the time of the 6th and 7th trumpets.
During the 6th Trumpet? No.
The text of the 6th trumpet does not indicate anything related to the reaping, nor does it make a connection to those in Rev. 15:1–5.
During the Transition from the 7th Trumpet, Right as the 7 Vial Angels Appear? Yes.
Rev. 11:19 says, “the temple of God was opened in heaven,” and Rev. 15:5 says, “the temple of the tabernacle of the testimony in heaven was opened.” These verses appear to describe the same moment in time. Further, this fits exactly with the transition pattern from the seal plagues into the trumpets. That is, before any new plagues begin, the seven angels of the next series are made ready and appear. Yet the next set of angels do not act until after the close of the previous plagues. Thus, the only remaining option for the reaping is at the sounding of the 7th trumpet.</w:t>
      </w:r>
    </w:p>
    <w:p>
      <w:pPr>
        <w:jc w:val="left"/>
        <w:ind w:left="360" w:right="0" w:firstLine="0" w:hanging="0"/>
        <w:spacing w:after="60"/>
      </w:pPr>
      <w:r>
        <w:rPr>
          <w:sz w:val="18"/>
          <w:szCs w:val="18"/>
          <w:i w:val="1"/>
          <w:iCs w:val="1"/>
        </w:rPr>
        <w:t xml:space="preserve">[fn] In 2 Thessalonians 2:1, Paul uses the word ἐπισυναγωγή for "our gathering together," which is not used in any other time in relation to the catching up of believers by Paul. This makes 2 Thessalonians 2:1 distinct in its description from 1 Thessalonians 4:17 (ἁρπάζω to snatch) and 1 Corinthians 15:52 (where a gathering or snatching is not described, only a "changing"). Future, in 2 Thessalonians 2:1, Paul excludes any mention of the resurrection. In 1 Thessalonians and 1 Corinthians 15 is explicit about the resurrection in relation to the change in the living experience. 
So, 2 Thessalonians 2:1 could be describing either a gathering without a resurrection (as this study suggests) or simply bundling the resurrection and the catching up into one phase, ἐπισυναγωγή. The safest is to assume that both are possible; however, Revelation makes it hard to read 2 Thessalonians 2:1 as an event that includes a resurrection, as the text of Revelation does not seem to include a resurrection of the dead at this moment in Revelation 14:16. Revelation 14:16 makes it clear that Jesus reaps before the winepress is trodden, and the first resurrection is not until after the winepress is trodden. And this reaping seems linked to the group in Revelation 15:2, not to those in 20:4.</w:t>
      </w:r>
    </w:p>
    <w:p>
      <w:pPr>
        <w:jc w:val="left"/>
        <w:ind w:left="360" w:right="0" w:firstLine="0" w:hanging="0"/>
        <w:spacing w:after="60"/>
      </w:pPr>
      <w:r>
        <w:rPr>
          <w:sz w:val="18"/>
          <w:szCs w:val="18"/>
          <w:i w:val="1"/>
          <w:iCs w:val="1"/>
        </w:rPr>
        <w:t xml:space="preserve">[fn] The moment of this reaping seems deeply connected to Matthew 24:30–31. Yet Matthew 24:30–31 does not describe a resurrection. It describes the Son of man coming, the angels being sent, the trumpet sounding, and the elect being gathered together. The verb is ἐπισυνάγω (episynagō), meaning “to gather together” or “assemble.” Paul uses the related noun ἐπισυναγωγή (episynagōgē) in 2 Thessalonians 2:1 when he speaks of “our gathering together unto him.” In both passages, the focus is on gathering, not resurrection. Neither Matthew 24:30–31 nor 2 Thessalonians 2:1 directly mentions a resurrection, either in the verse itself or in the immediate surrounding context.</w:t>
      </w:r>
    </w:p>
    <w:p>
      <w:pPr>
        <w:spacing w:after="150"/>
      </w:pPr>
      <w:r>
        <w:rPr/>
        <w:t xml:space="preserve"/>
      </w:r>
    </w:p>
    <w:p>
      <w:pPr>
        <w:pStyle w:val="Heading3"/>
      </w:pPr>
      <w:bookmarkStart w:id="78" w:name="_Toc78"/>
      <w:r>
        <w:t>Altar Angel Reaps Grapes</w:t>
      </w:r>
      <w:bookmarkEnd w:id="78"/>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90"/>
      </w:r>
      <w:r>
        <w:rPr/>
        <w:t xml:space="preserve"> of the </w:t>
      </w:r>
      <w:r>
        <w:rPr>
          <w:b w:val="1"/>
          <w:bCs w:val="1"/>
        </w:rPr>
        <w:t xml:space="preserve">temple</w:t>
      </w:r>
      <w:r>
        <w:rPr/>
        <w:t xml:space="preserve"> </w:t>
      </w:r>
      <w:r>
        <w:rPr>
          <w:rStyle w:val="FootnoteReference"/>
        </w:rPr>
        <w:footnoteReference w:id="591"/>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92"/>
      </w:r>
      <w:r>
        <w:rPr/>
        <w:t xml:space="preserve"> </w:t>
      </w:r>
      <w:r>
        <w:rPr>
          <w:rStyle w:val="FootnoteReference"/>
        </w:rPr>
        <w:footnoteReference w:id="593"/>
      </w:r>
      <w:r>
        <w:rPr/>
        <w:t xml:space="preserve">; and called with a great voice to him who had the sharp sickle, saying, Send thy sharp sickle, and gather the clusters of the vine of the earth; for her grapes are fully ripe. </w:t>
      </w:r>
      <w:r>
        <w:rPr>
          <w:rStyle w:val="FootnoteReference"/>
        </w:rPr>
        <w:footnoteReference w:id="594"/>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cast in his sickle into the earth, and gathered the vine of the earth, and cast it into the great </w:t>
      </w:r>
      <w:r>
        <w:rPr>
          <w:b w:val="1"/>
          <w:bCs w:val="1"/>
        </w:rPr>
        <w:t xml:space="preserve">winepress of the fury of God</w:t>
      </w:r>
      <w:r>
        <w:rPr/>
        <w:t xml:space="preserve"> </w:t>
      </w:r>
      <w:r>
        <w:rPr>
          <w:color w:val="4A6FA5"/>
          <w:sz w:val="18"/>
          <w:szCs w:val="18"/>
        </w:rPr>
        <w:t xml:space="preserve"> (w</w:t>
      </w:r>
      <w:r>
        <w:rPr>
          <w:rStyle w:val="FootnoteReference"/>
        </w:rPr>
        <w:footnoteReference w:id="595"/>
      </w:r>
      <w:r>
        <w:rPr>
          <w:color w:val="4A6FA5"/>
          <w:sz w:val="18"/>
          <w:szCs w:val="18"/>
        </w:rPr>
        <w:t xml:space="preserve">) </w:t>
      </w:r>
      <w:r>
        <w:rPr/>
        <w:t xml:space="preserve"> </w:t>
      </w:r>
      <w:r>
        <w:rPr>
          <w:rStyle w:val="FootnoteReference"/>
        </w:rPr>
        <w:footnoteReference w:id="596"/>
      </w:r>
      <w:r>
        <w:rPr/>
        <w:t xml:space="preserve">.</w:t>
      </w:r>
    </w:p>
    <w:p>
      <w:pPr>
        <w:spacing w:after="150"/>
      </w:pPr>
      <w:r>
        <w:rPr/>
        <w:t xml:space="preserve"/>
      </w:r>
    </w:p>
    <w:p>
      <w:pPr>
        <w:pStyle w:val="Heading3"/>
      </w:pPr>
      <w:bookmarkStart w:id="79" w:name="_Toc79"/>
      <w:r>
        <w:t>Final Babylon Falls</w:t>
      </w:r>
      <w:bookmarkEnd w:id="79"/>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97"/>
      </w:r>
      <w:r>
        <w:rPr/>
        <w:t xml:space="preserve"> outside the </w:t>
      </w:r>
      <w:r>
        <w:rPr>
          <w:b w:val="1"/>
          <w:bCs w:val="1"/>
        </w:rPr>
        <w:t xml:space="preserve">city</w:t>
      </w:r>
      <w:r>
        <w:rPr/>
        <w:t xml:space="preserve"> </w:t>
      </w:r>
      <w:r>
        <w:rPr>
          <w:rStyle w:val="FootnoteReference"/>
        </w:rPr>
        <w:footnoteReference w:id="598"/>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99"/>
      </w:r>
      <w:r>
        <w:rPr>
          <w:color w:val="4A6FA5"/>
          <w:sz w:val="18"/>
          <w:szCs w:val="18"/>
        </w:rPr>
        <w:t xml:space="preserve">) </w:t>
      </w:r>
      <w:r>
        <w:rPr/>
        <w:t xml:space="preserve"> </w:t>
      </w:r>
      <w:r>
        <w:rPr>
          <w:color w:val="4A6FA5"/>
          <w:sz w:val="18"/>
          <w:szCs w:val="18"/>
        </w:rPr>
        <w:t xml:space="preserve"> (hb</w:t>
      </w:r>
      <w:r>
        <w:rPr>
          <w:rStyle w:val="FootnoteReference"/>
        </w:rPr>
        <w:footnoteReference w:id="600"/>
      </w:r>
      <w:r>
        <w:rPr>
          <w:color w:val="4A6FA5"/>
          <w:sz w:val="18"/>
          <w:szCs w:val="18"/>
        </w:rPr>
        <w:t xml:space="preserve">) </w:t>
      </w:r>
      <w:r>
        <w:rPr/>
        <w:t xml:space="preserve"> </w:t>
      </w:r>
      <w:r>
        <w:rPr>
          <w:rStyle w:val="FootnoteReference"/>
        </w:rPr>
        <w:footnoteReference w:id="601"/>
      </w:r>
      <w:r>
        <w:rPr/>
        <w:t xml:space="preserve">, by the space of a thousand and six hundred furlongs </w:t>
      </w:r>
      <w:r>
        <w:rPr>
          <w:rStyle w:val="FootnoteReference"/>
        </w:rPr>
        <w:footnoteReference w:id="602"/>
      </w:r>
      <w:r>
        <w:rPr/>
        <w:t xml:space="preserve">.</w:t>
      </w:r>
    </w:p>
    <w:p>
      <w:pPr>
        <w:jc w:val="center"/>
        <w:spacing w:before="120" w:after="60"/>
      </w:pPr>
      <w:r>
        <w:rPr>
          <w:sz w:val="36"/>
          <w:szCs w:val="36"/>
          <w:b w:val="1"/>
          <w:bCs w:val="1"/>
        </w:rPr>
        <w:t xml:space="preserve">✶</w:t>
      </w:r>
    </w:p>
    <w:p>
      <w:pPr>
        <w:pStyle w:val="Heading2"/>
      </w:pPr>
      <w:bookmarkStart w:id="80" w:name="_Toc80"/>
      <w:r>
        <w:t>Angels Exit Temple: Vials</w:t>
      </w:r>
      <w:bookmarkEnd w:id="80"/>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603"/>
      </w:r>
      <w:r>
        <w:rPr>
          <w:color w:val="4A6FA5"/>
          <w:sz w:val="18"/>
          <w:szCs w:val="18"/>
        </w:rPr>
        <w:t xml:space="preserve">) </w:t>
      </w:r>
      <w:r>
        <w:rPr/>
        <w:t xml:space="preserve">, </w:t>
      </w:r>
      <w:r>
        <w:rPr>
          <w:b w:val="1"/>
          <w:bCs w:val="1"/>
        </w:rPr>
        <w:t xml:space="preserve">great and marvelous</w:t>
      </w:r>
      <w:r>
        <w:rPr/>
        <w:t xml:space="preserve"> </w:t>
      </w:r>
      <w:r>
        <w:rPr>
          <w:rStyle w:val="FootnoteReference"/>
        </w:rPr>
        <w:footnoteReference w:id="604"/>
      </w:r>
      <w:r>
        <w:rPr/>
        <w:t xml:space="preserve">, </w:t>
      </w:r>
      <w:r>
        <w:rPr>
          <w:b w:val="1"/>
          <w:bCs w:val="1"/>
        </w:rPr>
        <w:t xml:space="preserve">seven messengers</w:t>
      </w:r>
      <w:r>
        <w:rPr/>
        <w:t xml:space="preserve"> </w:t>
      </w:r>
      <w:r>
        <w:rPr>
          <w:rStyle w:val="FootnoteReference"/>
        </w:rPr>
        <w:footnoteReference w:id="605"/>
      </w:r>
      <w:r>
        <w:rPr/>
        <w:t xml:space="preserve"> having the seven last plagues; for in them is finished the </w:t>
      </w:r>
      <w:r>
        <w:rPr>
          <w:b w:val="1"/>
          <w:bCs w:val="1"/>
        </w:rPr>
        <w:t xml:space="preserve">fury of God</w:t>
      </w:r>
      <w:r>
        <w:rPr/>
        <w:t xml:space="preserve"> </w:t>
      </w:r>
      <w:r>
        <w:rPr>
          <w:rStyle w:val="FootnoteReference"/>
        </w:rPr>
        <w:footnoteReference w:id="606"/>
      </w:r>
      <w:r>
        <w:rPr/>
        <w:t xml:space="preserve"> </w:t>
      </w:r>
      <w:r>
        <w:rPr>
          <w:rStyle w:val="FootnoteReference"/>
        </w:rPr>
        <w:footnoteReference w:id="607"/>
      </w:r>
      <w:r>
        <w:rPr/>
        <w:t xml:space="preserve">.</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fury of God.</w:t>
      </w:r>
    </w:p>
    <w:p>
      <w:pPr>
        <w:spacing w:after="150"/>
      </w:pPr>
      <w:r>
        <w:rPr/>
        <w:t xml:space="preserve"/>
      </w:r>
    </w:p>
    <w:p>
      <w:pPr>
        <w:pStyle w:val="Heading3"/>
      </w:pPr>
      <w:bookmarkStart w:id="81" w:name="_Toc81"/>
      <w:r>
        <w:t>Sea of Glass with Fire</w:t>
      </w:r>
      <w:bookmarkEnd w:id="81"/>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do not appear to be the same as those in the first resurrection of Revelation 20:4-6. These saints appear before Jesus comes as a thief in the night, near Revelation 16:15. The first resurrection does not appear to come until after the thief in the night. The thief in the night is most likely linked to Revelation 19:11. While both here and in Revelation 20 the saints are described as having victory over the beast, the mark, and the number of his name, the saints in Revelation 15:2 are not souls, nor are they shown to be dead. In Revelation 20, that group is explicitly said to have died and are not raised until after all seven vials are poured out. Because we can place this living group before the vials and the first-resurrection group after the vials, we can see that this is likely not what Paul was referring to in 1 Thessalonians 4:16, when he said the dead rise first. Here, the living are gathered first, and then the dead follow in Revelation 20. So, if this moment in Revelation 15:2-4 is not the one in Revelation 20:4-6.</w:t>
      </w:r>
    </w:p>
    <w:p>
      <w:pPr>
        <w:pStyle w:val="SectionBody"/>
      </w:pPr>
      <w:r>
        <w:rPr/>
        <w:t xml:space="preserve">Further, in 1 Thessalonians 5:4, Paul says, "But ye, brethren, are not in darkness, that that day should overtake you as a thief." Meaning that it is possible the saints should not expect to encounter Jesus coming as a thief in the night, as we see in Revelation 16:15. So, it appears there is much more going on in 1 Thessalonians 4-5 than a simple connection to the 7th trumpet of Revelation 11:15, the Son of man reaping from the clouds Revelation 14:16, and this moment in Revelation 15:2.</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608"/>
      </w:r>
      <w:r>
        <w:rPr/>
        <w:t xml:space="preserve"> </w:t>
      </w:r>
      <w:r>
        <w:rPr>
          <w:rStyle w:val="FootnoteReference"/>
        </w:rPr>
        <w:footnoteReference w:id="609"/>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610"/>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611"/>
      </w:r>
      <w:r>
        <w:rPr/>
        <w:t xml:space="preserve"> </w:t>
      </w:r>
      <w:r>
        <w:rPr>
          <w:rStyle w:val="FootnoteReference"/>
        </w:rPr>
        <w:footnoteReference w:id="612"/>
      </w:r>
      <w:r>
        <w:rPr/>
        <w:t xml:space="preserve">, and his </w:t>
      </w:r>
      <w:r>
        <w:rPr>
          <w:b w:val="1"/>
          <w:bCs w:val="1"/>
        </w:rPr>
        <w:t xml:space="preserve">image</w:t>
      </w:r>
      <w:r>
        <w:rPr/>
        <w:t xml:space="preserve"> </w:t>
      </w:r>
      <w:r>
        <w:rPr>
          <w:rStyle w:val="FootnoteReference"/>
        </w:rPr>
        <w:footnoteReference w:id="613"/>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614"/>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2" w:name="_Toc82"/>
      <w:r>
        <w:t>Victors Sing the Song of Moses and Song of the Lamb</w:t>
      </w:r>
      <w:bookmarkEnd w:id="82"/>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w:t>
      </w:r>
      <w:r>
        <w:rPr>
          <w:b w:val="1"/>
          <w:bCs w:val="1"/>
        </w:rPr>
        <w:t xml:space="preserve">Great and marvelous</w:t>
      </w:r>
      <w:r>
        <w:rPr/>
        <w:t xml:space="preserve"> </w:t>
      </w:r>
      <w:r>
        <w:rPr>
          <w:rStyle w:val="FootnoteReference"/>
        </w:rPr>
        <w:footnoteReference w:id="615"/>
      </w:r>
      <w:r>
        <w:rPr/>
        <w:t xml:space="preserve">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 O Lord,</w:t>
      </w:r>
      <w:r>
        <w:rPr/>
        <w:t xml:space="preserve">  </w:t>
      </w:r>
      <w:r>
        <w:rPr>
          <w:rStyle w:val="FootnoteReference"/>
        </w:rPr>
        <w:footnoteReference w:id="616"/>
      </w:r>
      <w:r>
        <w:rPr/>
        <w:t xml:space="preserve"> and glorify thy name? for you only are holy: for all nations shall come and worship before you; for thy judgments are made manifest.</w:t>
      </w:r>
    </w:p>
    <w:p>
      <w:pPr>
        <w:spacing w:after="150"/>
      </w:pPr>
      <w:r>
        <w:rPr/>
        <w:t xml:space="preserve"/>
      </w:r>
    </w:p>
    <w:p>
      <w:pPr>
        <w:pStyle w:val="Heading3"/>
      </w:pPr>
      <w:bookmarkStart w:id="83" w:name="_Toc83"/>
      <w:r>
        <w:t>Plagues Continue from Trumpets</w:t>
      </w:r>
      <w:bookmarkEnd w:id="83"/>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617"/>
      </w:r>
      <w:r>
        <w:rPr>
          <w:color w:val="4A6FA5"/>
          <w:sz w:val="18"/>
          <w:szCs w:val="18"/>
        </w:rPr>
        <w:t xml:space="preserve">) </w:t>
      </w:r>
      <w:r>
        <w:rPr/>
        <w:t xml:space="preserve"> </w:t>
      </w:r>
      <w:r>
        <w:rPr>
          <w:rStyle w:val="FootnoteReference"/>
        </w:rPr>
        <w:footnoteReference w:id="618"/>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619"/>
      </w:r>
      <w:r>
        <w:rPr/>
        <w:t xml:space="preserve"> of the </w:t>
      </w:r>
      <w:r>
        <w:rPr>
          <w:b w:val="1"/>
          <w:bCs w:val="1"/>
        </w:rPr>
        <w:t xml:space="preserve">temple</w:t>
      </w:r>
      <w:r>
        <w:rPr/>
        <w:t xml:space="preserve"> </w:t>
      </w:r>
      <w:r>
        <w:rPr>
          <w:rStyle w:val="FootnoteReference"/>
        </w:rPr>
        <w:footnoteReference w:id="620"/>
      </w:r>
      <w:r>
        <w:rPr/>
        <w:t xml:space="preserve">, clothed in </w:t>
      </w:r>
      <w:r>
        <w:rPr>
          <w:b w:val="1"/>
          <w:bCs w:val="1"/>
        </w:rPr>
        <w:t xml:space="preserve">clean and bright linen</w:t>
      </w:r>
      <w:r>
        <w:rPr/>
        <w:t xml:space="preserve"> </w:t>
      </w:r>
      <w:r>
        <w:rPr>
          <w:rStyle w:val="FootnoteReference"/>
        </w:rPr>
        <w:footnoteReference w:id="621"/>
      </w:r>
      <w:r>
        <w:rPr/>
        <w:t xml:space="preserve">, and having their breasts </w:t>
      </w:r>
      <w:r>
        <w:rPr>
          <w:b w:val="1"/>
          <w:bCs w:val="1"/>
        </w:rPr>
        <w:t xml:space="preserve">girded with golden girdles</w:t>
      </w:r>
      <w:r>
        <w:rPr/>
        <w:t xml:space="preserve"> </w:t>
      </w:r>
      <w:r>
        <w:rPr>
          <w:rStyle w:val="FootnoteReference"/>
        </w:rPr>
        <w:footnoteReference w:id="622"/>
      </w:r>
      <w:r>
        <w:rPr/>
        <w:t xml:space="preserve">.</w:t>
      </w:r>
    </w:p>
    <w:p>
      <w:pPr>
        <w:spacing w:after="150"/>
      </w:pPr>
      <w:r>
        <w:rPr/>
        <w:t xml:space="preserve"/>
      </w:r>
    </w:p>
    <w:p>
      <w:pPr>
        <w:pStyle w:val="Heading3"/>
      </w:pPr>
      <w:bookmarkStart w:id="84" w:name="_Toc84"/>
      <w:r>
        <w:t>Vials Appear</w:t>
      </w:r>
      <w:bookmarkEnd w:id="84"/>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623"/>
      </w:r>
      <w:r>
        <w:rPr/>
        <w:t xml:space="preserve"> gave unto the seven messengers seven golden vials full of the fury of God, who </w:t>
      </w:r>
      <w:r>
        <w:rPr>
          <w:b w:val="1"/>
          <w:bCs w:val="1"/>
        </w:rPr>
        <w:t xml:space="preserve">lives unto the ages of the ages</w:t>
      </w:r>
      <w:r>
        <w:rPr/>
        <w:t xml:space="preserve"> </w:t>
      </w:r>
      <w:r>
        <w:rPr>
          <w:rStyle w:val="FootnoteReference"/>
        </w:rPr>
        <w:footnoteReference w:id="624"/>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5" w:name="_Toc85"/>
      <w:r>
        <w:t>Temple Closed to Persons</w:t>
      </w:r>
      <w:bookmarkEnd w:id="85"/>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625"/>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626"/>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6" w:name="_Toc86"/>
      <w:r>
        <w:t>Seven Vial Plagues</w:t>
      </w:r>
      <w:bookmarkEnd w:id="86"/>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627"/>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fury of God</w:t>
      </w:r>
      <w:r>
        <w:rPr/>
        <w:t xml:space="preserve"> </w:t>
      </w:r>
      <w:r>
        <w:rPr>
          <w:rStyle w:val="FootnoteReference"/>
        </w:rPr>
        <w:footnoteReference w:id="628"/>
      </w:r>
      <w:r>
        <w:rPr/>
        <w:t xml:space="preserve"> </w:t>
      </w:r>
      <w:r>
        <w:rPr>
          <w:rStyle w:val="FootnoteReference"/>
        </w:rPr>
        <w:footnoteReference w:id="629"/>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7" w:name="_Toc87"/>
      <w:r>
        <w:t>The First Vial: Earth Sores</w:t>
      </w:r>
      <w:bookmarkEnd w:id="87"/>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630"/>
      </w:r>
      <w:r>
        <w:rPr/>
        <w:t xml:space="preserve">; and noisome and grievous sores fell upon the men who had the </w:t>
      </w:r>
      <w:r>
        <w:rPr>
          <w:b w:val="1"/>
          <w:bCs w:val="1"/>
        </w:rPr>
        <w:t xml:space="preserve">mark of the beast</w:t>
      </w:r>
      <w:r>
        <w:rPr/>
        <w:t xml:space="preserve"> </w:t>
      </w:r>
      <w:r>
        <w:rPr>
          <w:rStyle w:val="FootnoteReference"/>
        </w:rPr>
        <w:footnoteReference w:id="631"/>
      </w:r>
      <w:r>
        <w:rPr/>
        <w:t xml:space="preserve"> </w:t>
      </w:r>
      <w:r>
        <w:rPr>
          <w:rStyle w:val="FootnoteReference"/>
        </w:rPr>
        <w:footnoteReference w:id="632"/>
      </w:r>
      <w:r>
        <w:rPr/>
        <w:t xml:space="preserve">, and </w:t>
      </w:r>
      <w:r>
        <w:rPr/>
        <w:t xml:space="preserve">them which </w:t>
      </w:r>
      <w:r>
        <w:rPr>
          <w:b w:val="1"/>
          <w:bCs w:val="1"/>
        </w:rPr>
        <w:t xml:space="preserve">worshipped his image</w:t>
      </w:r>
      <w:r>
        <w:rPr/>
        <w:t xml:space="preserve"> </w:t>
      </w:r>
      <w:r>
        <w:rPr>
          <w:rStyle w:val="FootnoteReference"/>
        </w:rPr>
        <w:footnoteReference w:id="633"/>
      </w:r>
      <w:r>
        <w:rPr/>
        <w:t xml:space="preserve">.</w:t>
      </w:r>
    </w:p>
    <w:p>
      <w:pPr>
        <w:spacing w:after="150"/>
      </w:pPr>
      <w:r>
        <w:rPr/>
        <w:t xml:space="preserve"/>
      </w:r>
    </w:p>
    <w:p>
      <w:pPr>
        <w:pStyle w:val="Heading3"/>
      </w:pPr>
      <w:bookmarkStart w:id="88" w:name="_Toc88"/>
      <w:r>
        <w:t>The Second Vial: Sea to Blood</w:t>
      </w:r>
      <w:bookmarkEnd w:id="88"/>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634"/>
      </w:r>
      <w:r>
        <w:rPr/>
        <w:t xml:space="preserve">; and it became as the blood of a corpse: and every living soul died in the sea.</w:t>
      </w:r>
    </w:p>
    <w:p>
      <w:pPr>
        <w:spacing w:after="150"/>
      </w:pPr>
      <w:r>
        <w:rPr/>
        <w:t xml:space="preserve"/>
      </w:r>
    </w:p>
    <w:p>
      <w:pPr>
        <w:pStyle w:val="Heading3"/>
      </w:pPr>
      <w:bookmarkStart w:id="89" w:name="_Toc89"/>
      <w:r>
        <w:t>The Third Vial: Fresh Water to Blood</w:t>
      </w:r>
      <w:bookmarkEnd w:id="89"/>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635"/>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636"/>
      </w:r>
      <w:r>
        <w:rPr/>
        <w:t xml:space="preserve"> </w:t>
      </w:r>
      <w:r>
        <w:rPr>
          <w:rStyle w:val="FootnoteReference"/>
        </w:rPr>
        <w:footnoteReference w:id="637"/>
      </w:r>
      <w:r>
        <w:rPr/>
        <w:t xml:space="preserve"> </w:t>
      </w:r>
      <w:r>
        <w:rPr>
          <w:rStyle w:val="FootnoteReference"/>
        </w:rPr>
        <w:footnoteReference w:id="638"/>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0" w:name="_Toc90"/>
      <w:r>
        <w:t>The Fourth Vial: Scorching Sun of Heaven</w:t>
      </w:r>
      <w:bookmarkEnd w:id="90"/>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639"/>
      </w:r>
      <w:r>
        <w:rPr/>
        <w:t xml:space="preserve">; </w:t>
      </w:r>
      <w:r>
        <w:rPr>
          <w:b w:val="1"/>
          <w:bCs w:val="1"/>
        </w:rPr>
        <w:t xml:space="preserve">and it was given unto him to scorch men with fire</w:t>
      </w:r>
      <w:r>
        <w:rPr/>
        <w:t xml:space="preserve"> </w:t>
      </w:r>
      <w:r>
        <w:rPr>
          <w:rStyle w:val="FootnoteReference"/>
        </w:rPr>
        <w:footnoteReference w:id="640"/>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w:t>
      </w:r>
      <w:r>
        <w:rPr>
          <w:b w:val="1"/>
          <w:bCs w:val="1"/>
        </w:rPr>
        <w:t xml:space="preserve">men were scorched with great heat</w:t>
      </w:r>
      <w:r>
        <w:rPr/>
        <w:t xml:space="preserve"> </w:t>
      </w:r>
      <w:r>
        <w:rPr>
          <w:rStyle w:val="FootnoteReference"/>
        </w:rPr>
        <w:footnoteReference w:id="641"/>
      </w:r>
      <w:r>
        <w:rPr/>
        <w:t xml:space="preserve">, and blasphemed the name of God, who has power over these plagues: and they repented not to give him glory.</w:t>
      </w:r>
    </w:p>
    <w:p>
      <w:pPr>
        <w:spacing w:after="150"/>
      </w:pPr>
      <w:r>
        <w:rPr/>
        <w:t xml:space="preserve"/>
      </w:r>
    </w:p>
    <w:p>
      <w:pPr>
        <w:pStyle w:val="Heading3"/>
      </w:pPr>
      <w:bookmarkStart w:id="91" w:name="_Toc91"/>
      <w:r>
        <w:t>The Fifth Vial: Pain of Darkness</w:t>
      </w:r>
      <w:bookmarkEnd w:id="91"/>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642"/>
      </w:r>
      <w:r>
        <w:rPr/>
        <w:t xml:space="preserve">; and </w:t>
      </w:r>
      <w:r>
        <w:rPr>
          <w:b w:val="1"/>
          <w:bCs w:val="1"/>
        </w:rPr>
        <w:t xml:space="preserve">his kingdom was full of darkness</w:t>
      </w:r>
      <w:r>
        <w:rPr/>
        <w:t xml:space="preserve"> </w:t>
      </w:r>
      <w:r>
        <w:rPr>
          <w:rStyle w:val="FootnoteReference"/>
        </w:rPr>
        <w:footnoteReference w:id="643"/>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works.</w:t>
      </w:r>
    </w:p>
    <w:p>
      <w:pPr>
        <w:spacing w:after="150"/>
      </w:pPr>
      <w:r>
        <w:rPr/>
        <w:t xml:space="preserve"/>
      </w:r>
    </w:p>
    <w:p>
      <w:pPr>
        <w:pStyle w:val="Heading3"/>
      </w:pPr>
      <w:bookmarkStart w:id="92" w:name="_Toc92"/>
      <w:r>
        <w:t>The Sixth Vial: Gathering of Kings by Unclean Spirits</w:t>
      </w:r>
      <w:bookmarkEnd w:id="92"/>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644"/>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645"/>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646"/>
      </w:r>
      <w:r>
        <w:rPr/>
        <w:t xml:space="preserve">, working </w:t>
      </w:r>
      <w:r>
        <w:rPr>
          <w:b w:val="1"/>
          <w:bCs w:val="1"/>
        </w:rPr>
        <w:t xml:space="preserve">signs</w:t>
      </w:r>
      <w:r>
        <w:rPr/>
        <w:t xml:space="preserve"> </w:t>
      </w:r>
      <w:r>
        <w:rPr>
          <w:rStyle w:val="FootnoteReference"/>
        </w:rPr>
        <w:footnoteReference w:id="647"/>
      </w:r>
      <w:r>
        <w:rPr/>
        <w:t xml:space="preserve">, who go forth unto the kings of the earth and of the whole world, to </w:t>
      </w:r>
      <w:r>
        <w:rPr>
          <w:b w:val="1"/>
          <w:bCs w:val="1"/>
        </w:rPr>
        <w:t xml:space="preserve">gather</w:t>
      </w:r>
      <w:r>
        <w:rPr/>
        <w:t xml:space="preserve"> </w:t>
      </w:r>
      <w:r>
        <w:rPr>
          <w:rStyle w:val="FootnoteReference"/>
        </w:rPr>
        <w:footnoteReference w:id="648"/>
      </w:r>
      <w:r>
        <w:rPr/>
        <w:t xml:space="preserve"> them to the war of </w:t>
      </w:r>
      <w:r>
        <w:rPr>
          <w:b w:val="1"/>
          <w:bCs w:val="1"/>
        </w:rPr>
        <w:t xml:space="preserve">the great day</w:t>
      </w:r>
      <w:r>
        <w:rPr>
          <w:rStyle w:val="FootnoteReference"/>
        </w:rPr>
        <w:footnoteReference w:id="649"/>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3" w:name="_Toc93"/>
      <w:r>
        <w:t>I Come as a Thief</w:t>
      </w:r>
      <w:bookmarkEnd w:id="93"/>
    </w:p>
    <w:p>
      <w:pPr>
        <w:pStyle w:val="SectionBody"/>
      </w:pPr>
      <w:r>
        <w:rPr>
          <w:b w:val="1"/>
          <w:bCs w:val="1"/>
        </w:rPr>
        <w:t xml:space="preserve">Important Note</w:t>
      </w:r>
      <w:r>
        <w:rPr/>
        <w:t xml:space="preserve">: In 1 Thessalonians 5:4, Paul writes, “But you, brethren, are not in darkness, that the day would overtake you like a thief” (NASB95). In that passage, the subject is “that day,” referring back to “the day of the Lord” in 1 Thessalonians 5:2. However, in Revelation 16:15, Jesus says, “Behold, I am coming like a thief” (NASB95). Here, the thief imagery is applied directly to Jesus’ own coming, not to “the day.” This suggests that Revelation 16:15 shares the same typological warning of suddenness and watchfulness found in 1 Thessalonians 5, but the two passages should not be treated as strictly synonymous. In 1 Thessalonians 5, the day comes like a thief; in Revelation 16:15, Jesus Himself comes like a thief.</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650"/>
      </w:r>
      <w:r>
        <w:rPr/>
        <w:t xml:space="preserve">  </w:t>
      </w:r>
      <w:r>
        <w:rPr>
          <w:rStyle w:val="FootnoteReference"/>
        </w:rPr>
        <w:footnoteReference w:id="651"/>
      </w:r>
      <w:r>
        <w:rPr/>
        <w:t xml:space="preserve">. </w:t>
      </w:r>
      <w:r>
        <w:rPr>
          <w:b w:val="1"/>
          <w:bCs w:val="1"/>
        </w:rPr>
        <w:t xml:space="preserve">Blessed</w:t>
      </w:r>
      <w:r>
        <w:rPr/>
        <w:t xml:space="preserve"> </w:t>
      </w:r>
      <w:r>
        <w:rPr>
          <w:rStyle w:val="FootnoteReference"/>
        </w:rPr>
        <w:footnoteReference w:id="652"/>
      </w:r>
      <w:r>
        <w:rPr/>
        <w:t xml:space="preserve"> is he who watches, and keeps his garments, lest he walk </w:t>
      </w:r>
      <w:r>
        <w:rPr>
          <w:b w:val="1"/>
          <w:bCs w:val="1"/>
        </w:rPr>
        <w:t xml:space="preserve">naked</w:t>
      </w:r>
      <w:r>
        <w:rPr/>
        <w:t xml:space="preserve"> </w:t>
      </w:r>
      <w:r>
        <w:rPr>
          <w:rStyle w:val="FootnoteReference"/>
        </w:rPr>
        <w:footnoteReference w:id="653"/>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w:t>
      </w:r>
      <w:r>
        <w:rPr>
          <w:b w:val="1"/>
          <w:bCs w:val="1"/>
        </w:rPr>
        <w:t xml:space="preserve">gathered</w:t>
      </w:r>
      <w:r>
        <w:rPr/>
        <w:t xml:space="preserve"> </w:t>
      </w:r>
      <w:r>
        <w:rPr>
          <w:rStyle w:val="FootnoteReference"/>
        </w:rPr>
        <w:footnoteReference w:id="654"/>
      </w:r>
      <w:r>
        <w:rPr/>
        <w:t xml:space="preserve">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4" w:name="_Toc94"/>
      <w:r>
        <w:t>The Seventh Vial: Voices, Thunders, Lightnings, and Earthquake</w:t>
      </w:r>
      <w:bookmarkEnd w:id="94"/>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55"/>
      </w:r>
      <w:r>
        <w:rPr/>
        <w:t xml:space="preserve">, from the throne, saying, </w:t>
      </w:r>
      <w:r>
        <w:rPr>
          <w:b w:val="1"/>
          <w:bCs w:val="1"/>
        </w:rPr>
        <w:t xml:space="preserve">It is done</w:t>
      </w:r>
      <w:r>
        <w:rPr/>
        <w:t xml:space="preserve"> </w:t>
      </w:r>
      <w:r>
        <w:rPr>
          <w:rStyle w:val="FootnoteReference"/>
        </w:rPr>
        <w:footnoteReference w:id="656"/>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57"/>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58"/>
      </w:r>
      <w:r>
        <w:rPr/>
        <w:t xml:space="preserve"> </w:t>
      </w:r>
      <w:r>
        <w:rPr>
          <w:rStyle w:val="FootnoteReference"/>
        </w:rPr>
        <w:footnoteReference w:id="659"/>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60"/>
      </w:r>
      <w:r>
        <w:rPr/>
        <w:t xml:space="preserve"> came in remembrance before God, to give unto her </w:t>
      </w:r>
      <w:r>
        <w:rPr>
          <w:b w:val="1"/>
          <w:bCs w:val="1"/>
        </w:rPr>
        <w:t xml:space="preserve">the cup of the wine of the fury of his wrath</w:t>
      </w:r>
      <w:r>
        <w:rPr/>
        <w:t xml:space="preserve"> </w:t>
      </w:r>
      <w:r>
        <w:rPr>
          <w:color w:val="4A6FA5"/>
          <w:sz w:val="18"/>
          <w:szCs w:val="18"/>
        </w:rPr>
        <w:t xml:space="preserve"> (w</w:t>
      </w:r>
      <w:r>
        <w:rPr>
          <w:rStyle w:val="FootnoteReference"/>
        </w:rPr>
        <w:footnoteReference w:id="661"/>
      </w:r>
      <w:r>
        <w:rPr>
          <w:color w:val="4A6FA5"/>
          <w:sz w:val="18"/>
          <w:szCs w:val="18"/>
        </w:rPr>
        <w:t xml:space="preserve">) </w:t>
      </w:r>
      <w:r>
        <w:rPr/>
        <w:t xml:space="preserve"> </w:t>
      </w:r>
      <w:r>
        <w:rPr>
          <w:rStyle w:val="FootnoteReference"/>
        </w:rPr>
        <w:footnoteReference w:id="662"/>
      </w:r>
      <w:r>
        <w:rPr/>
        <w:t xml:space="preserve"> </w:t>
      </w:r>
      <w:r>
        <w:rPr>
          <w:rStyle w:val="FootnoteReference"/>
        </w:rPr>
        <w:footnoteReference w:id="663"/>
      </w:r>
      <w:r>
        <w:rPr/>
        <w:t xml:space="preserve"> </w:t>
      </w:r>
      <w:r>
        <w:rPr>
          <w:rStyle w:val="FootnoteReference"/>
        </w:rPr>
        <w:footnoteReference w:id="664"/>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65"/>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5" w:name="_Toc95"/>
      <w:r>
        <w:t>Vision of Mystery Babylon and The 10 Kings</w:t>
      </w:r>
      <w:bookmarkEnd w:id="95"/>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6" w:name="_Toc96"/>
      <w:r>
        <w:t>Mystery Babylon: The Great Whore</w:t>
      </w:r>
      <w:bookmarkEnd w:id="96"/>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66"/>
      </w:r>
      <w:r>
        <w:rPr/>
        <w:t xml:space="preserve">, I will show unto you the judgment of the </w:t>
      </w:r>
      <w:r>
        <w:rPr>
          <w:b w:val="1"/>
          <w:bCs w:val="1"/>
        </w:rPr>
        <w:t xml:space="preserve">great whore</w:t>
      </w:r>
      <w:r>
        <w:rPr/>
        <w:t xml:space="preserve"> </w:t>
      </w:r>
      <w:r>
        <w:rPr>
          <w:rStyle w:val="FootnoteReference"/>
        </w:rPr>
        <w:footnoteReference w:id="667"/>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68"/>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69"/>
      </w:r>
      <w:r>
        <w:rPr/>
        <w:t xml:space="preserve"> </w:t>
      </w:r>
      <w:r>
        <w:rPr>
          <w:rStyle w:val="FootnoteReference"/>
        </w:rPr>
        <w:footnoteReference w:id="670"/>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71"/>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72"/>
      </w:r>
      <w:r>
        <w:rPr/>
        <w:t xml:space="preserve">, having </w:t>
      </w:r>
      <w:r>
        <w:rPr>
          <w:b w:val="1"/>
          <w:bCs w:val="1"/>
        </w:rPr>
        <w:t xml:space="preserve">seven heads and ten horns</w:t>
      </w:r>
      <w:r>
        <w:rPr/>
        <w:t xml:space="preserve"> </w:t>
      </w:r>
      <w:r>
        <w:rPr>
          <w:rStyle w:val="FootnoteReference"/>
        </w:rPr>
        <w:footnoteReference w:id="673"/>
      </w:r>
      <w:r>
        <w:rPr/>
        <w:t xml:space="preserve"> </w:t>
      </w:r>
      <w:r>
        <w:rPr>
          <w:rStyle w:val="FootnoteReference"/>
        </w:rPr>
        <w:footnoteReference w:id="674"/>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7" w:name="_Toc97"/>
      <w:r>
        <w:t>False Wealth</w:t>
      </w:r>
      <w:bookmarkEnd w:id="97"/>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75"/>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76"/>
      </w:r>
      <w:r>
        <w:rPr/>
        <w:t xml:space="preserve"> was a name written, a </w:t>
      </w:r>
      <w:r>
        <w:rPr>
          <w:b w:val="1"/>
          <w:bCs w:val="1"/>
        </w:rPr>
        <w:t xml:space="preserve">mystery</w:t>
      </w:r>
      <w:r>
        <w:rPr/>
        <w:t xml:space="preserve"> </w:t>
      </w:r>
      <w:r>
        <w:rPr>
          <w:rStyle w:val="FootnoteReference"/>
        </w:rPr>
        <w:footnoteReference w:id="677"/>
      </w:r>
      <w:r>
        <w:rPr/>
        <w:t xml:space="preserve">, </w:t>
      </w:r>
      <w:r>
        <w:rPr>
          <w:b w:val="1"/>
          <w:bCs w:val="1"/>
        </w:rPr>
        <w:t xml:space="preserve">Babylon The Great, The Mother Of Harlots And Abominations Of The Earth</w:t>
      </w:r>
      <w:r>
        <w:rPr/>
        <w:t xml:space="preserve"> </w:t>
      </w:r>
      <w:r>
        <w:rPr>
          <w:rStyle w:val="FootnoteReference"/>
        </w:rPr>
        <w:footnoteReference w:id="678"/>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witnesses of Jesus</w:t>
      </w:r>
      <w:r>
        <w:rPr/>
        <w:t xml:space="preserve"> </w:t>
      </w:r>
      <w:r>
        <w:rPr>
          <w:rStyle w:val="FootnoteReference"/>
        </w:rPr>
        <w:footnoteReference w:id="679"/>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80"/>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81"/>
      </w:r>
      <w:r>
        <w:rPr/>
        <w:t xml:space="preserve"> </w:t>
      </w:r>
      <w:r>
        <w:rPr>
          <w:rStyle w:val="FootnoteReference"/>
        </w:rPr>
        <w:footnoteReference w:id="682"/>
      </w:r>
      <w:r>
        <w:rPr/>
        <w:t xml:space="preserve">.</w:t>
      </w:r>
    </w:p>
    <w:p>
      <w:pPr>
        <w:spacing w:after="150"/>
      </w:pPr>
      <w:r>
        <w:rPr/>
        <w:t xml:space="preserve"/>
      </w:r>
    </w:p>
    <w:p>
      <w:pPr>
        <w:pStyle w:val="Heading3"/>
      </w:pPr>
      <w:bookmarkStart w:id="98" w:name="_Toc98"/>
      <w:r>
        <w:t>Message of The Red Dragon's End After 1000 Years</w:t>
      </w:r>
      <w:bookmarkEnd w:id="98"/>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83"/>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84"/>
      </w:r>
      <w:r>
        <w:rPr/>
        <w:t xml:space="preserve"> </w:t>
      </w:r>
      <w:r>
        <w:rPr>
          <w:rStyle w:val="FootnoteReference"/>
        </w:rPr>
        <w:footnoteReference w:id="685"/>
      </w:r>
      <w:r>
        <w:rPr/>
        <w:t xml:space="preserve">, and go into </w:t>
      </w:r>
      <w:r>
        <w:rPr>
          <w:b w:val="1"/>
          <w:bCs w:val="1"/>
        </w:rPr>
        <w:t xml:space="preserve">perdition</w:t>
      </w:r>
      <w:r>
        <w:rPr/>
        <w:t xml:space="preserve"> </w:t>
      </w:r>
      <w:r>
        <w:rPr>
          <w:rStyle w:val="FootnoteReference"/>
        </w:rPr>
        <w:footnoteReference w:id="686"/>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87"/>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88"/>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99" w:name="_Toc99"/>
      <w:r>
        <w:t>Seven Heads</w:t>
      </w:r>
      <w:bookmarkEnd w:id="99"/>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89"/>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90"/>
      </w:r>
      <w:r>
        <w:rPr/>
        <w:t xml:space="preserve"> </w:t>
      </w:r>
      <w:r>
        <w:rPr>
          <w:rStyle w:val="FootnoteReference"/>
        </w:rPr>
        <w:footnoteReference w:id="691"/>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92"/>
      </w:r>
      <w:r>
        <w:rPr>
          <w:color w:val="4A6FA5"/>
          <w:sz w:val="18"/>
          <w:szCs w:val="18"/>
        </w:rPr>
        <w:t xml:space="preserve">) </w:t>
      </w:r>
    </w:p>
    <w:p>
      <w:pPr>
        <w:spacing w:after="150"/>
      </w:pPr>
      <w:r>
        <w:rPr/>
        <w:t xml:space="preserve"/>
      </w:r>
    </w:p>
    <w:p>
      <w:pPr>
        <w:pStyle w:val="Heading3"/>
      </w:pPr>
      <w:bookmarkStart w:id="100" w:name="_Toc100"/>
      <w:r>
        <w:t>Satan the Eighth Head: Final Rebellion After 1000 Years</w:t>
      </w:r>
      <w:bookmarkEnd w:id="100"/>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93"/>
      </w:r>
      <w:r>
        <w:rPr/>
        <w:t xml:space="preserve">, even he is the eighth, and is of the seven, and goes into </w:t>
      </w:r>
      <w:r>
        <w:rPr>
          <w:b w:val="1"/>
          <w:bCs w:val="1"/>
        </w:rPr>
        <w:t xml:space="preserve">perdition</w:t>
      </w:r>
      <w:r>
        <w:rPr/>
        <w:t xml:space="preserve"> </w:t>
      </w:r>
      <w:r>
        <w:rPr>
          <w:rStyle w:val="FootnoteReference"/>
        </w:rPr>
        <w:footnoteReference w:id="694"/>
      </w:r>
      <w:r>
        <w:rPr/>
        <w:t xml:space="preserve">.</w:t>
      </w:r>
    </w:p>
    <w:p>
      <w:pPr>
        <w:spacing w:after="150"/>
      </w:pPr>
      <w:r>
        <w:rPr/>
        <w:t xml:space="preserve"/>
      </w:r>
    </w:p>
    <w:p>
      <w:pPr>
        <w:pStyle w:val="Heading3"/>
      </w:pPr>
      <w:bookmarkStart w:id="101" w:name="_Toc101"/>
      <w:r>
        <w:t>One Hour of Ten Kings</w:t>
      </w:r>
      <w:bookmarkEnd w:id="101"/>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95"/>
      </w:r>
      <w:r>
        <w:rPr/>
        <w:t xml:space="preserve">, who have received no kingdom as yet; but receive power as kings </w:t>
      </w:r>
      <w:r>
        <w:rPr>
          <w:b w:val="1"/>
          <w:bCs w:val="1"/>
        </w:rPr>
        <w:t xml:space="preserve">one hour</w:t>
      </w:r>
      <w:r>
        <w:rPr/>
        <w:t xml:space="preserve"> </w:t>
      </w:r>
      <w:r>
        <w:rPr>
          <w:rStyle w:val="FootnoteReference"/>
        </w:rPr>
        <w:footnoteReference w:id="696"/>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97"/>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2" w:name="_Toc102"/>
      <w:r>
        <w:t>Message of Ten Kings Fall</w:t>
      </w:r>
      <w:bookmarkEnd w:id="102"/>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98"/>
      </w:r>
      <w:r>
        <w:rPr/>
        <w:t xml:space="preserve"> with the Lamb, and </w:t>
      </w:r>
      <w:r>
        <w:rPr>
          <w:b w:val="1"/>
          <w:bCs w:val="1"/>
        </w:rPr>
        <w:t xml:space="preserve">the Lamb shall overcome</w:t>
      </w:r>
      <w:r>
        <w:rPr/>
        <w:t xml:space="preserve"> </w:t>
      </w:r>
      <w:r>
        <w:rPr>
          <w:rStyle w:val="FootnoteReference"/>
        </w:rPr>
        <w:footnoteReference w:id="699"/>
      </w:r>
      <w:r>
        <w:rPr/>
        <w:t xml:space="preserve"> them: for he is </w:t>
      </w:r>
      <w:r>
        <w:rPr>
          <w:b w:val="1"/>
          <w:bCs w:val="1"/>
        </w:rPr>
        <w:t xml:space="preserve">Lord of lords, and King of kings</w:t>
      </w:r>
      <w:r>
        <w:rPr/>
        <w:t xml:space="preserve"> </w:t>
      </w:r>
      <w:r>
        <w:rPr>
          <w:rStyle w:val="FootnoteReference"/>
        </w:rPr>
        <w:footnoteReference w:id="700"/>
      </w:r>
      <w:r>
        <w:rPr/>
        <w:t xml:space="preserve">: and they that are with him are </w:t>
      </w:r>
      <w:r>
        <w:rPr>
          <w:b w:val="1"/>
          <w:bCs w:val="1"/>
        </w:rPr>
        <w:t xml:space="preserve">called, and chosen, and faithful</w:t>
      </w:r>
      <w:r>
        <w:rPr/>
        <w:t xml:space="preserve"> </w:t>
      </w:r>
      <w:r>
        <w:rPr>
          <w:rStyle w:val="FootnoteReference"/>
        </w:rPr>
        <w:footnoteReference w:id="701"/>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3" w:name="_Toc103"/>
      <w:r>
        <w:t>The Sea of Peoples</w:t>
      </w:r>
      <w:bookmarkEnd w:id="103"/>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702"/>
      </w:r>
      <w:r>
        <w:rPr/>
        <w:t xml:space="preserve">.</w:t>
      </w:r>
    </w:p>
    <w:p>
      <w:pPr>
        <w:spacing w:after="150"/>
      </w:pPr>
      <w:r>
        <w:rPr/>
        <w:t xml:space="preserve"/>
      </w:r>
    </w:p>
    <w:p>
      <w:pPr>
        <w:pStyle w:val="Heading3"/>
      </w:pPr>
      <w:bookmarkStart w:id="104" w:name="_Toc104"/>
      <w:r>
        <w:t>Ten Kings Will Burn The Woman: Mystery Babylon</w:t>
      </w:r>
      <w:bookmarkEnd w:id="104"/>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703"/>
      </w:r>
      <w:r>
        <w:rPr/>
        <w:t xml:space="preserve"> </w:t>
      </w:r>
      <w:r>
        <w:rPr>
          <w:rStyle w:val="FootnoteReference"/>
        </w:rPr>
        <w:footnoteReference w:id="704"/>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705"/>
      </w:r>
      <w:r>
        <w:rPr/>
        <w:t xml:space="preserve">, and </w:t>
      </w:r>
      <w:r>
        <w:rPr>
          <w:b w:val="1"/>
          <w:bCs w:val="1"/>
        </w:rPr>
        <w:t xml:space="preserve">to agree, and give their kingdom unto the beast</w:t>
      </w:r>
      <w:r>
        <w:rPr/>
        <w:t xml:space="preserve"> </w:t>
      </w:r>
      <w:r>
        <w:rPr>
          <w:rStyle w:val="FootnoteReference"/>
        </w:rPr>
        <w:footnoteReference w:id="706"/>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707"/>
      </w:r>
      <w:r>
        <w:rPr/>
        <w:t xml:space="preserve"> </w:t>
      </w:r>
      <w:r>
        <w:rPr>
          <w:rStyle w:val="FootnoteReference"/>
        </w:rPr>
        <w:footnoteReference w:id="708"/>
      </w:r>
      <w:r>
        <w:rPr/>
        <w:t xml:space="preserve">, which has kingship over the kings of the earth.</w:t>
      </w:r>
    </w:p>
    <w:p>
      <w:pPr>
        <w:jc w:val="left"/>
        <w:ind w:left="360" w:right="0" w:firstLine="0" w:hanging="0"/>
        <w:spacing w:after="60"/>
      </w:pPr>
      <w:r>
        <w:rPr>
          <w:sz w:val="18"/>
          <w:szCs w:val="18"/>
          <w:i w:val="1"/>
          <w:iCs w:val="1"/>
        </w:rPr>
        <w:t xml:space="preserve">[fn] The phrase "βασιλείαν ἐπὶ τῶν βασιλέων" for the woman can be rendered in English as "kingship over the kings". Such a position for her stands in contrast to Jesus in 17:14, who is "βασιλεὺς βασιλέων", that is, in English "King of Kings".</w:t>
      </w:r>
    </w:p>
    <w:p>
      <w:pPr>
        <w:jc w:val="center"/>
        <w:spacing w:before="120" w:after="60"/>
      </w:pPr>
      <w:r>
        <w:rPr>
          <w:sz w:val="36"/>
          <w:szCs w:val="36"/>
          <w:b w:val="1"/>
          <w:bCs w:val="1"/>
        </w:rPr>
        <w:t xml:space="preserve">✶</w:t>
      </w:r>
    </w:p>
    <w:p>
      <w:pPr>
        <w:pStyle w:val="Heading3"/>
      </w:pPr>
      <w:bookmarkStart w:id="105" w:name="_Toc105"/>
      <w:r>
        <w:t>Mystery Babylon: Is Fallen, Is Fallen</w:t>
      </w:r>
      <w:bookmarkEnd w:id="105"/>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might not be the case. Here is why this messenger might not be Jesus.</w:t>
      </w:r>
    </w:p>
    <w:p>
      <w:pPr>
        <w:pStyle w:val="SectionBody"/>
      </w:pPr>
      <w:r>
        <w:rPr/>
        <w:t xml:space="preserve">Glory is not attributed exclusively to the Lamb and God in Revelation. Making that claim of glory being only used for God, on its own,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Yet, this messenger in 18:1 does not qualify his glory with God as the one in Luke 2:9 does.</w:t>
      </w:r>
    </w:p>
    <w:p>
      <w:pPr>
        <w:pStyle w:val="SectionBody"/>
      </w:pPr>
      <w:r>
        <w:rPr/>
        <w:t xml:space="preserve">Also, the mirror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the messenger announces, “is fallen, is fallen Babylon the great”. While the texts do not explicitly equate the figures, the shared role — receiving and proclaiming God’s verdict — suggests a functional parallel, in which the messenger may be understood as fulfilling a watchman-like office, acting as a herald under divine authority, not as the Lord himself.</w:t>
      </w:r>
    </w:p>
    <w:p>
      <w:pPr>
        <w:pStyle w:val="SectionBody"/>
      </w:pPr>
      <w:r>
        <w:rPr/>
        <w:t xml:space="preserve">If the figure in Revelation 18:1 were identified as Jesus, then the voice in 18:4 becomes difficult to account for, since that voice also carries features that strongly suggest Christ—particularly in the covenantal language, “my people.” The text presents the messenger of 18:1 as having descended to the earth, while the voice of 18:4 speaks from heaven, creating a clear spatial and functional distinction between the two. Taken together, these differences indicate that the speakers are being presented as separate figures within the passage.</w:t>
      </w:r>
    </w:p>
    <w:p>
      <w:pPr>
        <w:pStyle w:val="SectionBody"/>
      </w:pPr>
      <w:r>
        <w:rPr/>
        <w:t xml:space="preserve">Finally, in Revelation 14:8, we appear to see the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709"/>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710"/>
      </w:r>
    </w:p>
    <w:p>
      <w:pPr>
        <w:jc w:val="left"/>
        <w:ind w:left="360" w:right="0" w:firstLine="0" w:hanging="0"/>
        <w:spacing w:after="60"/>
      </w:pPr>
      <w:r>
        <w:rPr>
          <w:sz w:val="18"/>
          <w:szCs w:val="18"/>
          <w:i w:val="1"/>
          <w:iCs w:val="1"/>
        </w:rPr>
        <w:t xml:space="preserve">[fn] αλλον — another (of the same kind).</w:t>
      </w:r>
    </w:p>
    <w:p>
      <w:pPr>
        <w:jc w:val="left"/>
        <w:ind w:left="360" w:right="0" w:firstLine="0" w:hanging="0"/>
        <w:spacing w:after="60"/>
      </w:pPr>
      <w:r>
        <w:rPr>
          <w:sz w:val="18"/>
          <w:szCs w:val="18"/>
          <w:i w:val="1"/>
          <w:iCs w:val="1"/>
        </w:rPr>
        <w:t xml:space="preserve">[fn] If this messenger is Jesus—which is not implausible—then Revelation 14:1-5 may function as an overlay to Revelation 14:6-8. This pattern of overlaying is not exclusive to Revelation 14, nor does it introduce a unique narrative structure. We already see possible examples of overlapping scenes elsewhere in Revelation, such as in chapter 6, where the four horsemen appear to emerge in rapid succession or at the same time, and in chapter 7, with the sealing of the 144,000 alongside the vision of the multitude in heaven. In other words, Revelation appears to contain tightly grouped events that may be presented either linearly or as compressed overlays.</w:t>
      </w:r>
    </w:p>
    <w:p>
      <w:pPr>
        <w:pStyle w:val="BodyVerse"/>
      </w:pPr>
      <w:r>
        <w:rPr>
          <w:b w:val="1"/>
          <w:bCs w:val="1"/>
        </w:rPr>
        <w:t xml:space="preserve">[[@Bible:Re 18:2]] </w:t>
      </w:r>
      <w:r>
        <w:rPr>
          <w:sz w:val="22"/>
          <w:szCs w:val="22"/>
          <w:b w:val="1"/>
          <w:bCs w:val="1"/>
          <w:vertAlign w:val="superscript"/>
        </w:rPr>
        <w:t xml:space="preserve">2  </w:t>
      </w:r>
      <w:r>
        <w:rPr/>
        <w:t xml:space="preserve">And he cried with a mighty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711"/>
      </w:r>
      <w:r>
        <w:rPr>
          <w:color w:val="4A6FA5"/>
          <w:sz w:val="18"/>
          <w:szCs w:val="18"/>
        </w:rPr>
        <w:t xml:space="preserve">) </w:t>
      </w:r>
      <w:r>
        <w:rPr/>
        <w:t xml:space="preserve"> </w:t>
      </w:r>
      <w:r>
        <w:rPr>
          <w:rStyle w:val="FootnoteReference"/>
        </w:rPr>
        <w:footnoteReference w:id="712"/>
      </w:r>
      <w:r>
        <w:rPr/>
        <w:t xml:space="preserve"> </w:t>
      </w:r>
      <w:r>
        <w:rPr>
          <w:rStyle w:val="FootnoteReference"/>
        </w:rPr>
        <w:footnoteReference w:id="713"/>
      </w:r>
      <w:r>
        <w:rPr/>
        <w:t xml:space="preserve">, and is become the habitation of devils, and the hold of every unclean spirit, and a cage of every unclean and hateful bird.</w:t>
      </w:r>
    </w:p>
    <w:p>
      <w:pPr>
        <w:jc w:val="left"/>
        <w:ind w:left="360" w:right="0" w:firstLine="0" w:hanging="0"/>
        <w:spacing w:after="60"/>
      </w:pPr>
      <w:r>
        <w:rPr>
          <w:sz w:val="18"/>
          <w:szCs w:val="18"/>
          <w:i w:val="1"/>
          <w:iCs w:val="1"/>
        </w:rPr>
        <w:t xml:space="preserve">[fn] “ἰσχυρᾷ φωνῇ” — “with a mighty voice” — This phrase occurs only once in the New Testament, here in Revelation 18:2. In contrast, the more common expression, used roughly sixty times, is φωνῇ μεγάλῃ (“with a loud/great voice”). The distinction is significant. This messenger is not merely portrayed as speaking with great volume—though he may be—but as speaking with strength, force, and authority. His words carry weight; they are deliberate, powerful, and commanding. The closest parallel is found in Hebrews 5:7, where Christ offers prayers with “strong crying” (κραυγῆς ἰσχυρᾶς), yet there the expression conveys anguish and supplication, not the authoritative proclamation seen here.
This phrase also reinforces what is already revealed about the messenger: he comes with “great power” (Rev 18:1). His mighty voice is not an isolated detail but an extension of his character and commission. Moreover, his glory and power stand in sharp contrast to the supposed might and glory of Babylon herself (Rev 18:7, 10). The city boasts in her might, yet this messenger, bearing God's glory and might, proclaims her fall with decisive force. The contrast is intentional: the one who announces judgment possesses far greater might than the object of that judgment.</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fury of her fornication</w:t>
      </w:r>
      <w:r>
        <w:rPr/>
        <w:t xml:space="preserve"> </w:t>
      </w:r>
      <w:r>
        <w:rPr>
          <w:rStyle w:val="FootnoteReference"/>
        </w:rPr>
        <w:footnoteReference w:id="714"/>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6" w:name="_Toc106"/>
      <w:r>
        <w:t>Come Out of Her, My People</w:t>
      </w:r>
      <w:bookmarkEnd w:id="106"/>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715"/>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716"/>
      </w:r>
      <w:r>
        <w:rPr>
          <w:color w:val="4A6FA5"/>
          <w:sz w:val="18"/>
          <w:szCs w:val="18"/>
        </w:rPr>
        <w:t xml:space="preserve">) </w:t>
      </w:r>
      <w:r>
        <w:rPr/>
        <w:t xml:space="preserve"> </w:t>
      </w:r>
      <w:r>
        <w:rPr>
          <w:rStyle w:val="FootnoteReference"/>
        </w:rPr>
        <w:footnoteReference w:id="717"/>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heavenly voice that calls "my people" to "come out" does not use the same Greek word as we first see when John is told to "Come up" or "Ascend" in Revelation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718"/>
      </w:r>
      <w:r>
        <w:rPr/>
        <w:t xml:space="preserve">: in the cup which she has filled fill to her double. </w:t>
      </w:r>
      <w:r>
        <w:rPr>
          <w:rStyle w:val="FootnoteReference"/>
        </w:rPr>
        <w:footnoteReference w:id="719"/>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w:t>
      </w:r>
      <w:r>
        <w:rPr>
          <w:b w:val="1"/>
          <w:bCs w:val="1"/>
        </w:rPr>
        <w:t xml:space="preserve">she has glorified herself</w:t>
      </w:r>
      <w:r>
        <w:rPr/>
        <w:t xml:space="preserve"> </w:t>
      </w:r>
      <w:r>
        <w:rPr>
          <w:rStyle w:val="FootnoteReference"/>
        </w:rPr>
        <w:footnoteReference w:id="720"/>
      </w:r>
      <w:r>
        <w:rPr/>
        <w:t xml:space="preserve">, and lived deliciously, so much torment and sorrow give her: for she says in her heart, </w:t>
      </w:r>
      <w:r>
        <w:rPr>
          <w:b w:val="1"/>
          <w:bCs w:val="1"/>
        </w:rPr>
        <w:t xml:space="preserve">I sit a queen</w:t>
      </w:r>
      <w:r>
        <w:rPr/>
        <w:t xml:space="preserve"> </w:t>
      </w:r>
      <w:r>
        <w:rPr>
          <w:rStyle w:val="FootnoteReference"/>
        </w:rPr>
        <w:footnoteReference w:id="721"/>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722"/>
      </w:r>
      <w:r>
        <w:rPr/>
        <w:t xml:space="preserve">: for mighty is the </w:t>
      </w:r>
      <w:r>
        <w:rPr>
          <w:b w:val="1"/>
          <w:bCs w:val="1"/>
        </w:rPr>
        <w:t xml:space="preserve">Lord God who judges her</w:t>
      </w:r>
      <w:r>
        <w:rPr/>
        <w:t xml:space="preserve"> </w:t>
      </w:r>
      <w:r>
        <w:rPr>
          <w:rStyle w:val="FootnoteReference"/>
        </w:rPr>
        <w:footnoteReference w:id="723"/>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7" w:name="_Toc107"/>
      <w:r>
        <w:t>Kings Lament Her Destruction: Destroyed in One Hour</w:t>
      </w:r>
      <w:bookmarkEnd w:id="107"/>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724"/>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725"/>
      </w:r>
      <w:r>
        <w:rPr/>
        <w:t xml:space="preserve"> </w:t>
      </w:r>
      <w:r>
        <w:rPr>
          <w:rStyle w:val="FootnoteReference"/>
        </w:rPr>
        <w:footnoteReference w:id="726"/>
      </w:r>
      <w:r>
        <w:rPr/>
        <w:t xml:space="preserve">, that </w:t>
      </w:r>
      <w:r>
        <w:rPr>
          <w:b w:val="1"/>
          <w:bCs w:val="1"/>
        </w:rPr>
        <w:t xml:space="preserve">mighty city</w:t>
      </w:r>
      <w:r>
        <w:rPr/>
        <w:t xml:space="preserve"> </w:t>
      </w:r>
      <w:r>
        <w:rPr>
          <w:rStyle w:val="FootnoteReference"/>
        </w:rPr>
        <w:footnoteReference w:id="727"/>
      </w:r>
      <w:r>
        <w:rPr/>
        <w:t xml:space="preserve">! for in </w:t>
      </w:r>
      <w:r>
        <w:rPr>
          <w:b w:val="1"/>
          <w:bCs w:val="1"/>
        </w:rPr>
        <w:t xml:space="preserve">one hour</w:t>
      </w:r>
      <w:r>
        <w:rPr/>
        <w:t xml:space="preserve"> </w:t>
      </w:r>
      <w:r>
        <w:rPr>
          <w:rStyle w:val="FootnoteReference"/>
        </w:rPr>
        <w:footnoteReference w:id="728"/>
      </w:r>
      <w:r>
        <w:rPr/>
        <w:t xml:space="preserve"> is thy judgment come.</w:t>
      </w:r>
    </w:p>
    <w:p>
      <w:pPr>
        <w:spacing w:after="150"/>
      </w:pPr>
      <w:r>
        <w:rPr/>
        <w:t xml:space="preserve"/>
      </w:r>
    </w:p>
    <w:p>
      <w:pPr>
        <w:pStyle w:val="Heading3"/>
      </w:pPr>
      <w:bookmarkStart w:id="108" w:name="_Toc108"/>
      <w:r>
        <w:t>Merchants Lament Her Destruction</w:t>
      </w:r>
      <w:bookmarkEnd w:id="108"/>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729"/>
      </w:r>
      <w:r>
        <w:rPr/>
        <w:t xml:space="preserve">. </w:t>
      </w:r>
      <w:r>
        <w:rPr>
          <w:rStyle w:val="FootnoteReference"/>
        </w:rPr>
        <w:footnoteReference w:id="730"/>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731"/>
      </w:r>
      <w:r>
        <w:rPr/>
        <w:t xml:space="preserve"> </w:t>
      </w:r>
      <w:r>
        <w:rPr>
          <w:rStyle w:val="FootnoteReference"/>
        </w:rPr>
        <w:footnoteReference w:id="732"/>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733"/>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734"/>
      </w:r>
      <w:r>
        <w:rPr/>
        <w:t xml:space="preserve">, saying, What city is like unto this </w:t>
      </w:r>
      <w:r>
        <w:rPr>
          <w:b w:val="1"/>
          <w:bCs w:val="1"/>
        </w:rPr>
        <w:t xml:space="preserve">great city</w:t>
      </w:r>
      <w:r>
        <w:rPr/>
        <w:t xml:space="preserve"> </w:t>
      </w:r>
      <w:r>
        <w:rPr>
          <w:rStyle w:val="FootnoteReference"/>
        </w:rPr>
        <w:footnoteReference w:id="735"/>
      </w:r>
      <w:r>
        <w:rPr/>
        <w:t xml:space="preserve"> </w:t>
      </w:r>
      <w:r>
        <w:rPr>
          <w:rStyle w:val="FootnoteReference"/>
        </w:rPr>
        <w:footnoteReference w:id="736"/>
      </w:r>
      <w:r>
        <w:rPr/>
        <w:t xml:space="preserve"> </w:t>
      </w:r>
      <w:r>
        <w:rPr>
          <w:rStyle w:val="FootnoteReference"/>
        </w:rPr>
        <w:footnoteReference w:id="737"/>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738"/>
      </w:r>
      <w:r>
        <w:rPr/>
        <w:t xml:space="preserve"> </w:t>
      </w:r>
      <w:r>
        <w:rPr>
          <w:rStyle w:val="FootnoteReference"/>
        </w:rPr>
        <w:footnoteReference w:id="739"/>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740"/>
      </w:r>
      <w:r>
        <w:rPr/>
        <w:t xml:space="preserve"> is she made desolate.</w:t>
      </w:r>
    </w:p>
    <w:p>
      <w:pPr>
        <w:spacing w:after="150"/>
      </w:pPr>
      <w:r>
        <w:rPr/>
        <w:t xml:space="preserve"/>
      </w:r>
    </w:p>
    <w:p>
      <w:pPr>
        <w:pStyle w:val="Heading3"/>
      </w:pPr>
      <w:bookmarkStart w:id="109" w:name="_Toc109"/>
      <w:r>
        <w:t>Rejoice, Heaven, Apostles, and Prophets</w:t>
      </w:r>
      <w:bookmarkEnd w:id="109"/>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741"/>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742"/>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0" w:name="_Toc110"/>
      <w:r>
        <w:t>Prophetic Echo: Mystery Babylon Cast into the Sea</w:t>
      </w:r>
      <w:bookmarkEnd w:id="110"/>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mighty messenger</w:t>
      </w:r>
      <w:r>
        <w:rPr/>
        <w:t xml:space="preserve"> </w:t>
      </w:r>
      <w:r>
        <w:rPr>
          <w:rStyle w:val="FootnoteReference"/>
        </w:rPr>
        <w:footnoteReference w:id="743"/>
      </w:r>
      <w:r>
        <w:rPr/>
        <w:t xml:space="preserve"> took up </w:t>
      </w:r>
      <w:r>
        <w:rPr>
          <w:b w:val="1"/>
          <w:bCs w:val="1"/>
        </w:rPr>
        <w:t xml:space="preserve">a stone like a great millstone, and cast it into the sea</w:t>
      </w:r>
      <w:r>
        <w:rPr/>
        <w:t xml:space="preserve"> </w:t>
      </w:r>
      <w:r>
        <w:rPr>
          <w:rStyle w:val="FootnoteReference"/>
        </w:rPr>
        <w:footnoteReference w:id="744"/>
      </w:r>
      <w:r>
        <w:rPr/>
        <w:t xml:space="preserve">, saying, So with violence shall that </w:t>
      </w:r>
      <w:r>
        <w:rPr>
          <w:b w:val="1"/>
          <w:bCs w:val="1"/>
        </w:rPr>
        <w:t xml:space="preserve">great city Babylon</w:t>
      </w:r>
      <w:r>
        <w:rPr/>
        <w:t xml:space="preserve"> </w:t>
      </w:r>
      <w:r>
        <w:rPr>
          <w:rStyle w:val="FootnoteReference"/>
        </w:rPr>
        <w:footnoteReference w:id="745"/>
      </w:r>
      <w:r>
        <w:rPr/>
        <w:t xml:space="preserve"> be cast down, and shall be </w:t>
      </w:r>
      <w:r>
        <w:rPr>
          <w:b w:val="1"/>
          <w:bCs w:val="1"/>
        </w:rPr>
        <w:t xml:space="preserve">found no more at all</w:t>
      </w:r>
      <w:r>
        <w:rPr/>
        <w:t xml:space="preserve"> </w:t>
      </w:r>
      <w:r>
        <w:rPr>
          <w:rStyle w:val="FootnoteReference"/>
        </w:rPr>
        <w:footnoteReference w:id="746"/>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747"/>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748"/>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749"/>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750"/>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751"/>
      </w:r>
      <w:r>
        <w:rPr/>
        <w:t xml:space="preserve">.</w:t>
      </w:r>
    </w:p>
    <w:p>
      <w:pPr>
        <w:spacing w:after="150"/>
      </w:pPr>
      <w:r>
        <w:rPr/>
        <w:t xml:space="preserve"/>
      </w:r>
    </w:p>
    <w:p>
      <w:pPr>
        <w:pStyle w:val="Heading3"/>
      </w:pPr>
      <w:bookmarkStart w:id="111" w:name="_Toc111"/>
      <w:r>
        <w:t>Marriage of the Lamb</w:t>
      </w:r>
      <w:bookmarkEnd w:id="111"/>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After these things I heard </w:t>
      </w:r>
      <w:r>
        <w:rPr>
          <w:b w:val="1"/>
          <w:bCs w:val="1"/>
        </w:rPr>
        <w:t xml:space="preserve">a great voice of a multitude of many in heaven</w:t>
      </w:r>
      <w:r>
        <w:rPr/>
        <w:t xml:space="preserve"> </w:t>
      </w:r>
      <w:r>
        <w:rPr>
          <w:color w:val="4A6FA5"/>
          <w:sz w:val="18"/>
          <w:szCs w:val="18"/>
        </w:rPr>
        <w:t xml:space="preserve"> (im</w:t>
      </w:r>
      <w:r>
        <w:rPr>
          <w:rStyle w:val="FootnoteReference"/>
        </w:rPr>
        <w:footnoteReference w:id="752"/>
      </w:r>
      <w:r>
        <w:rPr>
          <w:color w:val="4A6FA5"/>
          <w:sz w:val="18"/>
          <w:szCs w:val="18"/>
        </w:rPr>
        <w:t xml:space="preserve">) </w:t>
      </w:r>
      <w:r>
        <w:rPr/>
        <w:t xml:space="preserve"> </w:t>
      </w:r>
      <w:r>
        <w:rPr>
          <w:rStyle w:val="FootnoteReference"/>
        </w:rPr>
        <w:footnoteReference w:id="753"/>
      </w:r>
      <w:r>
        <w:rPr/>
        <w:t xml:space="preserve">, saying, </w:t>
      </w:r>
      <w:r>
        <w:rPr>
          <w:b w:val="1"/>
          <w:bCs w:val="1"/>
        </w:rPr>
        <w:t xml:space="preserve">Alleluia</w:t>
      </w:r>
      <w:r>
        <w:rPr/>
        <w:t xml:space="preserve"> </w:t>
      </w:r>
      <w:r>
        <w:rPr>
          <w:rStyle w:val="FootnoteReference"/>
        </w:rPr>
        <w:footnoteReference w:id="754"/>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755"/>
      </w:r>
      <w:r>
        <w:rPr>
          <w:color w:val="4A6FA5"/>
          <w:sz w:val="18"/>
          <w:szCs w:val="18"/>
        </w:rPr>
        <w:t xml:space="preserve">) </w:t>
      </w:r>
      <w:r>
        <w:rPr/>
        <w:t xml:space="preserve">, and </w:t>
      </w:r>
      <w:r>
        <w:rPr>
          <w:b w:val="1"/>
          <w:bCs w:val="1"/>
        </w:rPr>
        <w:t xml:space="preserve">glory,</w:t>
      </w:r>
      <w:r>
        <w:rPr/>
        <w:t xml:space="preserve"> </w:t>
      </w:r>
      <w:r>
        <w:rPr>
          <w:b w:val="1"/>
          <w:bCs w:val="1"/>
        </w:rPr>
        <w:t xml:space="preserve">and might, unto</w:t>
      </w:r>
      <w:r>
        <w:rPr/>
        <w:t xml:space="preserve"> </w:t>
      </w:r>
      <w:r>
        <w:rPr>
          <w:b w:val="1"/>
          <w:bCs w:val="1"/>
        </w:rPr>
        <w:t xml:space="preserve">our God</w:t>
      </w:r>
      <w:r>
        <w:rPr/>
        <w:t xml:space="preserve"> </w:t>
      </w:r>
      <w:r>
        <w:rPr>
          <w:rStyle w:val="FootnoteReference"/>
        </w:rPr>
        <w:footnoteReference w:id="756"/>
      </w:r>
      <w:r>
        <w:rPr>
          <w:rStyle w:val="FootnoteReference"/>
        </w:rPr>
        <w:footnoteReference w:id="757"/>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758"/>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759"/>
      </w:r>
      <w:r>
        <w:rPr/>
        <w:t xml:space="preserve">. And </w:t>
      </w:r>
      <w:r>
        <w:rPr>
          <w:b w:val="1"/>
          <w:bCs w:val="1"/>
        </w:rPr>
        <w:t xml:space="preserve">her smoke ascends unto the ages of the ages</w:t>
      </w:r>
      <w:r>
        <w:rPr/>
        <w:t xml:space="preserve"> </w:t>
      </w:r>
      <w:r>
        <w:rPr>
          <w:rStyle w:val="FootnoteReference"/>
        </w:rPr>
        <w:footnoteReference w:id="760"/>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761"/>
      </w:r>
      <w:r>
        <w:rPr/>
        <w:t xml:space="preserve"> and the four </w:t>
      </w:r>
      <w:r>
        <w:rPr>
          <w:b w:val="1"/>
          <w:bCs w:val="1"/>
        </w:rPr>
        <w:t xml:space="preserve">beasts</w:t>
      </w:r>
      <w:r>
        <w:rPr/>
        <w:t xml:space="preserve"> </w:t>
      </w:r>
      <w:r>
        <w:rPr>
          <w:rStyle w:val="FootnoteReference"/>
        </w:rPr>
        <w:footnoteReference w:id="762"/>
      </w:r>
      <w:r>
        <w:rPr/>
        <w:t xml:space="preserve"> fell down and worshipped God who sat on the throne, saying, Amen; </w:t>
      </w:r>
      <w:r>
        <w:rPr>
          <w:b w:val="1"/>
          <w:bCs w:val="1"/>
        </w:rPr>
        <w:t xml:space="preserve">Alleluia</w:t>
      </w:r>
      <w:r>
        <w:rPr/>
        <w:t xml:space="preserve"> </w:t>
      </w:r>
      <w:r>
        <w:rPr>
          <w:rStyle w:val="FootnoteReference"/>
        </w:rPr>
        <w:footnoteReference w:id="763"/>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64"/>
      </w:r>
      <w:r>
        <w:rPr/>
        <w:t xml:space="preserve">, saying, Praise our God, all you his servants, and all you who </w:t>
      </w:r>
      <w:r>
        <w:rPr>
          <w:b w:val="1"/>
          <w:bCs w:val="1"/>
        </w:rPr>
        <w:t xml:space="preserve">fear him</w:t>
      </w:r>
      <w:r>
        <w:rPr/>
        <w:t xml:space="preserve"> </w:t>
      </w:r>
      <w:r>
        <w:rPr>
          <w:rStyle w:val="FootnoteReference"/>
        </w:rPr>
        <w:footnoteReference w:id="765"/>
      </w:r>
      <w:r>
        <w:rPr/>
        <w:t xml:space="preserve">, both </w:t>
      </w:r>
      <w:r>
        <w:rPr>
          <w:b w:val="1"/>
          <w:bCs w:val="1"/>
        </w:rPr>
        <w:t xml:space="preserve">small and great</w:t>
      </w:r>
      <w:r>
        <w:rPr/>
        <w:t xml:space="preserve"> </w:t>
      </w:r>
      <w:r>
        <w:rPr>
          <w:rStyle w:val="FootnoteReference"/>
        </w:rPr>
        <w:footnoteReference w:id="766"/>
      </w:r>
      <w:r>
        <w:rPr/>
        <w:t xml:space="preserve">.</w:t>
      </w:r>
    </w:p>
    <w:p>
      <w:pPr>
        <w:jc w:val="left"/>
        <w:ind w:left="360" w:right="0" w:firstLine="0" w:hanging="0"/>
        <w:spacing w:after="60"/>
      </w:pPr>
      <w:r>
        <w:rPr>
          <w:sz w:val="18"/>
          <w:szCs w:val="18"/>
          <w:i w:val="1"/>
          <w:iCs w:val="1"/>
        </w:rPr>
        <w:t xml:space="preserve">[fn] "A voice came out of the throne," This can only be Jesus or the Father; here, it appears to be Jesus. As we see the command to praise sung in the next verse with "the voice of many waters", it appears that Jesus might be singing in the midst of a multitude of many. Like in Hebrews 2:12 "I will tell of your name to my brothers; In the midst of the congregation, I will sing your praise."</w:t>
      </w:r>
    </w:p>
    <w:p>
      <w:pPr>
        <w:spacing w:after="150"/>
      </w:pPr>
      <w:r>
        <w:rPr/>
        <w:t xml:space="preserve"/>
      </w:r>
    </w:p>
    <w:p>
      <w:pPr>
        <w:pStyle w:val="Heading3"/>
      </w:pPr>
      <w:bookmarkStart w:id="112" w:name="_Toc112"/>
      <w:r>
        <w:t>Small and Great Worship</w:t>
      </w:r>
      <w:bookmarkEnd w:id="112"/>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color w:val="4A6FA5"/>
          <w:sz w:val="18"/>
          <w:szCs w:val="18"/>
        </w:rPr>
        <w:t xml:space="preserve"> (im</w:t>
      </w:r>
      <w:r>
        <w:rPr>
          <w:rStyle w:val="FootnoteReference"/>
        </w:rPr>
        <w:footnoteReference w:id="767"/>
      </w:r>
      <w:r>
        <w:rPr>
          <w:color w:val="4A6FA5"/>
          <w:sz w:val="18"/>
          <w:szCs w:val="18"/>
        </w:rPr>
        <w:t xml:space="preserve">) </w:t>
      </w:r>
      <w:r>
        <w:rPr/>
        <w:t xml:space="preserve"> </w:t>
      </w:r>
      <w:r>
        <w:rPr>
          <w:rStyle w:val="FootnoteReference"/>
        </w:rPr>
        <w:footnoteReference w:id="768"/>
      </w:r>
      <w:r>
        <w:rPr/>
        <w:t xml:space="preserve">, and as the </w:t>
      </w:r>
      <w:r>
        <w:rPr>
          <w:b w:val="1"/>
          <w:bCs w:val="1"/>
        </w:rPr>
        <w:t xml:space="preserve">voice of many waters</w:t>
      </w:r>
      <w:r>
        <w:rPr/>
        <w:t xml:space="preserve"> </w:t>
      </w:r>
      <w:r>
        <w:rPr>
          <w:rStyle w:val="FootnoteReference"/>
        </w:rPr>
        <w:footnoteReference w:id="769"/>
      </w:r>
      <w:r>
        <w:rPr/>
        <w:t xml:space="preserve">, and as the voice of </w:t>
      </w:r>
      <w:r>
        <w:rPr>
          <w:b w:val="1"/>
          <w:bCs w:val="1"/>
        </w:rPr>
        <w:t xml:space="preserve">mighty thunders</w:t>
      </w:r>
      <w:r>
        <w:rPr/>
        <w:t xml:space="preserve"> </w:t>
      </w:r>
      <w:r>
        <w:rPr>
          <w:rStyle w:val="FootnoteReference"/>
        </w:rPr>
        <w:footnoteReference w:id="770"/>
      </w:r>
      <w:r>
        <w:rPr/>
        <w:t xml:space="preserve">, saying, </w:t>
      </w:r>
      <w:r>
        <w:rPr>
          <w:b w:val="1"/>
          <w:bCs w:val="1"/>
        </w:rPr>
        <w:t xml:space="preserve">Alleluia</w:t>
      </w:r>
      <w:r>
        <w:rPr/>
        <w:t xml:space="preserve"> </w:t>
      </w:r>
      <w:r>
        <w:rPr>
          <w:rStyle w:val="FootnoteReference"/>
        </w:rPr>
        <w:footnoteReference w:id="771"/>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72"/>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73"/>
      </w:r>
      <w:r>
        <w:rPr/>
        <w:t xml:space="preserve">: </w:t>
      </w:r>
      <w:r>
        <w:rPr>
          <w:b w:val="1"/>
          <w:bCs w:val="1"/>
        </w:rPr>
        <w:t xml:space="preserve">for the fine linen is the righteousness of saints</w:t>
      </w:r>
      <w:r>
        <w:rPr/>
        <w:t xml:space="preserve"> </w:t>
      </w:r>
      <w:r>
        <w:rPr>
          <w:rStyle w:val="FootnoteReference"/>
        </w:rPr>
        <w:footnoteReference w:id="774"/>
      </w:r>
      <w:r>
        <w:rPr/>
        <w:t xml:space="preserve">.</w:t>
      </w:r>
    </w:p>
    <w:p>
      <w:pPr>
        <w:spacing w:after="150"/>
      </w:pPr>
      <w:r>
        <w:rPr/>
        <w:t xml:space="preserve"/>
      </w:r>
    </w:p>
    <w:p>
      <w:pPr>
        <w:pStyle w:val="Heading3"/>
      </w:pPr>
      <w:bookmarkStart w:id="113" w:name="_Toc113"/>
      <w:r>
        <w:t>The Vial Angel Speaks</w:t>
      </w:r>
      <w:bookmarkEnd w:id="113"/>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75"/>
      </w:r>
      <w:r>
        <w:rPr/>
        <w:t xml:space="preserve">, </w:t>
      </w:r>
      <w:r>
        <w:rPr>
          <w:b w:val="1"/>
          <w:bCs w:val="1"/>
        </w:rPr>
        <w:t xml:space="preserve">Blessed</w:t>
      </w:r>
      <w:r>
        <w:rPr/>
        <w:t xml:space="preserve"> </w:t>
      </w:r>
      <w:r>
        <w:rPr>
          <w:rStyle w:val="FootnoteReference"/>
        </w:rPr>
        <w:footnoteReference w:id="776"/>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77"/>
      </w:r>
      <w:r>
        <w:rPr/>
        <w:t xml:space="preserve">. And he said unto me, See you do it not: I am thy fellowservant, and of thy </w:t>
      </w:r>
      <w:r>
        <w:rPr>
          <w:b w:val="1"/>
          <w:bCs w:val="1"/>
        </w:rPr>
        <w:t xml:space="preserve">brethren</w:t>
      </w:r>
      <w:r>
        <w:rPr/>
        <w:t xml:space="preserve"> </w:t>
      </w:r>
      <w:r>
        <w:rPr>
          <w:rStyle w:val="FootnoteReference"/>
        </w:rPr>
        <w:footnoteReference w:id="778"/>
      </w:r>
      <w:r>
        <w:rPr/>
        <w:t xml:space="preserve"> who have the </w:t>
      </w:r>
      <w:r>
        <w:rPr>
          <w:b w:val="1"/>
          <w:bCs w:val="1"/>
        </w:rPr>
        <w:t xml:space="preserve">testimony of Jesus</w:t>
      </w:r>
      <w:r>
        <w:rPr/>
        <w:t xml:space="preserve"> </w:t>
      </w:r>
      <w:r>
        <w:rPr>
          <w:rStyle w:val="FootnoteReference"/>
        </w:rPr>
        <w:footnoteReference w:id="779"/>
      </w:r>
      <w:r>
        <w:rPr/>
        <w:t xml:space="preserve">: worship God: for </w:t>
      </w:r>
      <w:r>
        <w:rPr>
          <w:b w:val="1"/>
          <w:bCs w:val="1"/>
        </w:rPr>
        <w:t xml:space="preserve">the testimony of Jesus</w:t>
      </w:r>
      <w:r>
        <w:rPr>
          <w:rStyle w:val="FootnoteReference"/>
        </w:rPr>
        <w:footnoteReference w:id="780"/>
      </w:r>
      <w:r>
        <w:rPr/>
        <w:t xml:space="preserve"> is the spirit of prophecy.</w:t>
      </w:r>
    </w:p>
    <w:p>
      <w:pPr>
        <w:jc w:val="center"/>
        <w:spacing w:before="120" w:after="60"/>
      </w:pPr>
      <w:r>
        <w:rPr>
          <w:sz w:val="36"/>
          <w:szCs w:val="36"/>
          <w:b w:val="1"/>
          <w:bCs w:val="1"/>
        </w:rPr>
        <w:t xml:space="preserve">✶</w:t>
      </w:r>
    </w:p>
    <w:p>
      <w:pPr>
        <w:pStyle w:val="Heading2"/>
      </w:pPr>
      <w:bookmarkStart w:id="114" w:name="_Toc114"/>
      <w:r>
        <w:t>Married Churches First Coming: Final White Horse Makes War</w:t>
      </w:r>
      <w:bookmarkEnd w:id="114"/>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81"/>
      </w:r>
      <w:r>
        <w:rPr/>
        <w:t xml:space="preserve"> </w:t>
      </w:r>
      <w:r>
        <w:rPr>
          <w:color w:val="4A6FA5"/>
          <w:sz w:val="18"/>
          <w:szCs w:val="18"/>
        </w:rPr>
        <w:t xml:space="preserve"> (hb</w:t>
      </w:r>
      <w:r>
        <w:rPr>
          <w:rStyle w:val="FootnoteReference"/>
        </w:rPr>
        <w:footnoteReference w:id="782"/>
      </w:r>
      <w:r>
        <w:rPr>
          <w:color w:val="4A6FA5"/>
          <w:sz w:val="18"/>
          <w:szCs w:val="18"/>
        </w:rPr>
        <w:t xml:space="preserve">) </w:t>
      </w:r>
      <w:r>
        <w:rPr/>
        <w:t xml:space="preserve">; and he that sat upon him was called Faithful and True, and </w:t>
      </w:r>
      <w:r>
        <w:rPr>
          <w:b w:val="1"/>
          <w:bCs w:val="1"/>
        </w:rPr>
        <w:t xml:space="preserve">in righteousness he does judge and make war</w:t>
      </w:r>
      <w:r>
        <w:rPr/>
        <w:t xml:space="preserve">. </w:t>
      </w:r>
      <w:r>
        <w:rPr>
          <w:rStyle w:val="FootnoteReference"/>
        </w:rPr>
        <w:footnoteReference w:id="783"/>
      </w:r>
    </w:p>
    <w:p>
      <w:pPr>
        <w:jc w:val="left"/>
        <w:ind w:left="360" w:right="0" w:firstLine="0" w:hanging="0"/>
        <w:spacing w:after="60"/>
      </w:pPr>
      <w:r>
        <w:rPr>
          <w:sz w:val="18"/>
          <w:szCs w:val="18"/>
          <w:i w:val="1"/>
          <w:iCs w:val="1"/>
        </w:rPr>
        <w:t xml:space="preserve">[fn] If "I come as a thief" from 16:15 is meant to signal the imminent coming of Jesus as the King of Kings at the winepress, then the moment in 19:11 should not be seen as coming before the 7th vial plague. This also implies that the reaping from 14:15-16 must happen before any vial plagues or after the 7th - as none can be in the temple during the 7 vial plagues based on 15:8. If the reaping in 14:15-16 happens after the 7th vial plague it would be very odd because it would be implied that several messangers enter the temple again for no specific reason other than to immediatly come out; such a entering only to exit does not fit well with the otherwise fluid and precise movments of persons throughout the book of Revelation. It makes more sense to place the reaping of 14:15-16 before any vials are poured out, when many other messengers are exiting at that time too. It also makes more sense to understand that Jesus' reaping from the clouds is for the saints, not for unbelievers. The other sharp sickle messenger in 14:17 would then be considered the one who reaps those in unbelief at that time.</w:t>
      </w:r>
    </w:p>
    <w:p>
      <w:pPr>
        <w:jc w:val="left"/>
        <w:ind w:left="360" w:right="0" w:firstLine="0" w:hanging="0"/>
        <w:spacing w:after="60"/>
      </w:pPr>
      <w:r>
        <w:rPr>
          <w:sz w:val="18"/>
          <w:szCs w:val="18"/>
          <w:i w:val="1"/>
          <w:iCs w:val="1"/>
        </w:rPr>
        <w:t xml:space="preserve">[fn] Psalm 76 feels like an echo.</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 were as a flame of fire</w:t>
      </w:r>
      <w:r>
        <w:rPr/>
        <w:t xml:space="preserve"> </w:t>
      </w:r>
      <w:r>
        <w:rPr>
          <w:rStyle w:val="FootnoteReference"/>
        </w:rPr>
        <w:footnoteReference w:id="784"/>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85"/>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86"/>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color w:val="4A6FA5"/>
          <w:sz w:val="18"/>
          <w:szCs w:val="18"/>
        </w:rPr>
        <w:t xml:space="preserve"> (hb</w:t>
      </w:r>
      <w:r>
        <w:rPr>
          <w:rStyle w:val="FootnoteReference"/>
        </w:rPr>
        <w:footnoteReference w:id="787"/>
      </w:r>
      <w:r>
        <w:rPr>
          <w:color w:val="4A6FA5"/>
          <w:sz w:val="18"/>
          <w:szCs w:val="18"/>
        </w:rPr>
        <w:t xml:space="preserve">) </w:t>
      </w:r>
      <w:r>
        <w:rPr/>
        <w:t xml:space="preserve"> </w:t>
      </w:r>
      <w:r>
        <w:rPr>
          <w:rStyle w:val="FootnoteReference"/>
        </w:rPr>
        <w:footnoteReference w:id="788"/>
      </w:r>
      <w:r>
        <w:rPr/>
        <w:t xml:space="preserve"> </w:t>
      </w:r>
      <w:r>
        <w:rPr>
          <w:rStyle w:val="FootnoteReference"/>
        </w:rPr>
        <w:footnoteReference w:id="789"/>
      </w:r>
      <w:r>
        <w:rPr/>
        <w:t xml:space="preserve"> </w:t>
      </w:r>
      <w:r>
        <w:rPr>
          <w:rStyle w:val="FootnoteReference"/>
        </w:rPr>
        <w:footnoteReference w:id="790"/>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91"/>
      </w:r>
      <w:r>
        <w:rPr/>
        <w:t xml:space="preserve">, that with it he should smite the nations: and he shall rule them with a </w:t>
      </w:r>
      <w:r>
        <w:rPr>
          <w:b w:val="1"/>
          <w:bCs w:val="1"/>
        </w:rPr>
        <w:t xml:space="preserve">rod of iron</w:t>
      </w:r>
      <w:r>
        <w:rPr/>
        <w:t xml:space="preserve"> </w:t>
      </w:r>
      <w:r>
        <w:rPr>
          <w:rStyle w:val="FootnoteReference"/>
        </w:rPr>
        <w:footnoteReference w:id="792"/>
      </w:r>
      <w:r>
        <w:rPr/>
        <w:t xml:space="preserve">: and he </w:t>
      </w:r>
      <w:r>
        <w:rPr>
          <w:b w:val="1"/>
          <w:bCs w:val="1"/>
        </w:rPr>
        <w:t xml:space="preserve">treads</w:t>
      </w:r>
      <w:r>
        <w:rPr/>
        <w:t xml:space="preserve"> </w:t>
      </w:r>
      <w:r>
        <w:rPr>
          <w:rStyle w:val="FootnoteReference"/>
        </w:rPr>
        <w:footnoteReference w:id="793"/>
      </w:r>
      <w:r>
        <w:rPr/>
        <w:t xml:space="preserve"> the </w:t>
      </w:r>
      <w:r>
        <w:rPr>
          <w:b w:val="1"/>
          <w:bCs w:val="1"/>
        </w:rPr>
        <w:t xml:space="preserve">winepress of the fury and wrath of Almighty God</w:t>
      </w:r>
      <w:r>
        <w:rPr/>
        <w:t xml:space="preserve"> </w:t>
      </w:r>
      <w:r>
        <w:rPr>
          <w:color w:val="4A6FA5"/>
          <w:sz w:val="18"/>
          <w:szCs w:val="18"/>
        </w:rPr>
        <w:t xml:space="preserve"> (w</w:t>
      </w:r>
      <w:r>
        <w:rPr>
          <w:rStyle w:val="FootnoteReference"/>
        </w:rPr>
        <w:footnoteReference w:id="794"/>
      </w:r>
      <w:r>
        <w:rPr>
          <w:color w:val="4A6FA5"/>
          <w:sz w:val="18"/>
          <w:szCs w:val="18"/>
        </w:rPr>
        <w:t xml:space="preserve">) </w:t>
      </w:r>
      <w:r>
        <w:rPr/>
        <w:t xml:space="preserve"> </w:t>
      </w:r>
      <w:r>
        <w:rPr>
          <w:rStyle w:val="FootnoteReference"/>
        </w:rPr>
        <w:footnoteReference w:id="795"/>
      </w:r>
      <w:r>
        <w:rPr/>
        <w:t xml:space="preserve"> </w:t>
      </w:r>
      <w:r>
        <w:rPr>
          <w:rStyle w:val="FootnoteReference"/>
        </w:rPr>
        <w:footnoteReference w:id="796"/>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97"/>
      </w:r>
      <w:r>
        <w:rPr/>
        <w:t xml:space="preserve">.</w:t>
      </w:r>
    </w:p>
    <w:p>
      <w:pPr>
        <w:spacing w:after="150"/>
      </w:pPr>
      <w:r>
        <w:rPr/>
        <w:t xml:space="preserve"/>
      </w:r>
    </w:p>
    <w:p>
      <w:pPr>
        <w:pStyle w:val="Heading3"/>
      </w:pPr>
      <w:bookmarkStart w:id="115" w:name="_Toc115"/>
      <w:r>
        <w:t>Supper of the Great God</w:t>
      </w:r>
      <w:bookmarkEnd w:id="115"/>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98"/>
      </w:r>
      <w:r>
        <w:rPr/>
        <w:t xml:space="preserve">; and he cried with a great voice, saying to all the fowls that </w:t>
      </w:r>
      <w:r>
        <w:rPr>
          <w:b w:val="1"/>
          <w:bCs w:val="1"/>
        </w:rPr>
        <w:t xml:space="preserve">fly</w:t>
      </w:r>
      <w:r>
        <w:rPr>
          <w:rStyle w:val="FootnoteReference"/>
        </w:rPr>
        <w:footnoteReference w:id="799"/>
      </w:r>
      <w:r>
        <w:rPr/>
        <w:t xml:space="preserve"> </w:t>
      </w:r>
      <w:r>
        <w:rPr>
          <w:rStyle w:val="FootnoteReference"/>
        </w:rPr>
        <w:footnoteReference w:id="800"/>
      </w:r>
      <w:r>
        <w:rPr/>
        <w:t xml:space="preserve"> in </w:t>
      </w:r>
      <w:r>
        <w:rPr>
          <w:b w:val="1"/>
          <w:bCs w:val="1"/>
        </w:rPr>
        <w:t xml:space="preserve">midheaven</w:t>
      </w:r>
      <w:r>
        <w:rPr>
          <w:rStyle w:val="FootnoteReference"/>
        </w:rPr>
        <w:footnoteReference w:id="801"/>
      </w:r>
      <w:r>
        <w:rPr/>
        <w:t xml:space="preserve">, Come and </w:t>
      </w:r>
      <w:r>
        <w:rPr>
          <w:b w:val="1"/>
          <w:bCs w:val="1"/>
        </w:rPr>
        <w:t xml:space="preserve">gather</w:t>
      </w:r>
      <w:r>
        <w:rPr/>
        <w:t xml:space="preserve"> </w:t>
      </w:r>
      <w:r>
        <w:rPr>
          <w:rStyle w:val="FootnoteReference"/>
        </w:rPr>
        <w:footnoteReference w:id="802"/>
      </w:r>
      <w:r>
        <w:rPr/>
        <w:t xml:space="preserve">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mighty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w:t>
      </w:r>
      <w:r>
        <w:rPr>
          <w:b w:val="1"/>
          <w:bCs w:val="1"/>
        </w:rPr>
        <w:t xml:space="preserve">gathered</w:t>
      </w:r>
      <w:r>
        <w:rPr/>
        <w:t xml:space="preserve"> </w:t>
      </w:r>
      <w:r>
        <w:rPr>
          <w:rStyle w:val="FootnoteReference"/>
        </w:rPr>
        <w:footnoteReference w:id="803"/>
      </w:r>
      <w:r>
        <w:rPr/>
        <w:t xml:space="preserve"> together to make war against him who sat on the horse, and against his army.</w:t>
      </w:r>
    </w:p>
    <w:p>
      <w:pPr>
        <w:spacing w:after="150"/>
      </w:pPr>
      <w:r>
        <w:rPr/>
        <w:t xml:space="preserve"/>
      </w:r>
    </w:p>
    <w:p>
      <w:pPr>
        <w:pStyle w:val="Heading3"/>
      </w:pPr>
      <w:bookmarkStart w:id="116" w:name="_Toc116"/>
      <w:r>
        <w:t>The Sea Beast and False Prophet Cast Into Lake of Fire</w:t>
      </w:r>
      <w:bookmarkEnd w:id="116"/>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804"/>
      </w:r>
      <w:r>
        <w:rPr/>
        <w:t xml:space="preserve"> before him, with which he deceived those who had received the </w:t>
      </w:r>
      <w:r>
        <w:rPr>
          <w:b w:val="1"/>
          <w:bCs w:val="1"/>
        </w:rPr>
        <w:t xml:space="preserve">mark</w:t>
      </w:r>
      <w:r>
        <w:rPr/>
        <w:t xml:space="preserve"> </w:t>
      </w:r>
      <w:r>
        <w:rPr>
          <w:rStyle w:val="FootnoteReference"/>
        </w:rPr>
        <w:footnoteReference w:id="805"/>
      </w:r>
      <w:r>
        <w:rPr/>
        <w:t xml:space="preserve"> of the beast, and those who worshipped his </w:t>
      </w:r>
      <w:r>
        <w:rPr>
          <w:b w:val="1"/>
          <w:bCs w:val="1"/>
        </w:rPr>
        <w:t xml:space="preserve">image</w:t>
      </w:r>
      <w:r>
        <w:rPr/>
        <w:t xml:space="preserve"> </w:t>
      </w:r>
      <w:r>
        <w:rPr>
          <w:rStyle w:val="FootnoteReference"/>
        </w:rPr>
        <w:footnoteReference w:id="806"/>
      </w:r>
      <w:r>
        <w:rPr/>
        <w:t xml:space="preserve">. </w:t>
      </w:r>
      <w:r>
        <w:rPr>
          <w:b w:val="1"/>
          <w:bCs w:val="1"/>
        </w:rPr>
        <w:t xml:space="preserve">These two were cast alive</w:t>
      </w:r>
      <w:r>
        <w:rPr>
          <w:rStyle w:val="FootnoteReference"/>
        </w:rPr>
        <w:footnoteReference w:id="807"/>
      </w:r>
      <w:r>
        <w:rPr/>
        <w:t xml:space="preserve"> into a </w:t>
      </w:r>
      <w:r>
        <w:rPr>
          <w:b w:val="1"/>
          <w:bCs w:val="1"/>
        </w:rPr>
        <w:t xml:space="preserve">lake of fire</w:t>
      </w:r>
      <w:r>
        <w:rPr/>
        <w:t xml:space="preserve"> </w:t>
      </w:r>
      <w:r>
        <w:rPr>
          <w:rStyle w:val="FootnoteReference"/>
        </w:rPr>
        <w:footnoteReference w:id="808"/>
      </w:r>
      <w:r>
        <w:rPr/>
        <w:t xml:space="preserve"> </w:t>
      </w:r>
      <w:r>
        <w:rPr>
          <w:rStyle w:val="FootnoteReference"/>
        </w:rPr>
        <w:footnoteReference w:id="809"/>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810"/>
      </w:r>
      <w:r>
        <w:rPr/>
        <w:t xml:space="preserve">: and all the fowls were filled with their flesh.</w:t>
      </w:r>
    </w:p>
    <w:p>
      <w:pPr>
        <w:spacing w:after="150"/>
      </w:pPr>
      <w:r>
        <w:rPr/>
        <w:t xml:space="preserve"/>
      </w:r>
    </w:p>
    <w:p>
      <w:pPr>
        <w:pStyle w:val="Heading3"/>
      </w:pPr>
      <w:bookmarkStart w:id="117" w:name="_Toc117"/>
      <w:r>
        <w:t>Satan Chained for 1000 Years In Bottomless Pit</w:t>
      </w:r>
      <w:bookmarkEnd w:id="117"/>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it is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811"/>
      </w:r>
      <w:r>
        <w:rPr/>
        <w:t xml:space="preserve"> of the </w:t>
      </w:r>
      <w:r>
        <w:rPr>
          <w:b w:val="1"/>
          <w:bCs w:val="1"/>
        </w:rPr>
        <w:t xml:space="preserve">bottomless pit</w:t>
      </w:r>
      <w:r>
        <w:rPr/>
        <w:t xml:space="preserve"> </w:t>
      </w:r>
      <w:r>
        <w:rPr>
          <w:rStyle w:val="FootnoteReference"/>
        </w:rPr>
        <w:footnoteReference w:id="812"/>
      </w:r>
      <w:r>
        <w:rPr/>
        <w:t xml:space="preserve"> </w:t>
      </w:r>
      <w:r>
        <w:rPr>
          <w:rStyle w:val="FootnoteReference"/>
        </w:rPr>
        <w:footnoteReference w:id="813"/>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814"/>
      </w:r>
      <w:r>
        <w:rPr/>
        <w:t xml:space="preserve">.</w:t>
      </w:r>
    </w:p>
    <w:p>
      <w:pPr>
        <w:jc w:val="left"/>
        <w:ind w:left="360" w:right="0" w:firstLine="0" w:hanging="0"/>
        <w:spacing w:after="60"/>
      </w:pPr>
      <w:r>
        <w:rPr>
          <w:sz w:val="18"/>
          <w:szCs w:val="18"/>
          <w:i w:val="1"/>
          <w:iCs w:val="1"/>
        </w:rPr>
        <w:t xml:space="preserve">[fn] Verses 20:1-2 are important when determining whether Revelation 20 continues the sequence from Revelation 19. Revelation 19 concludes with the beast and the false prophet being cast into the lake of fire, while Revelation 20 begins with Satan being bound for 1,000 years in the bottomless pit. These two acts share the same thematic movement: the coming of Christ’s kingdom and the removal of the principal adversaries. This continuation also places the first resurrection (20:4) within the 1,000 years following Satan’s binding, meaning it is woven tightly into the period after these adversarial removals.
This is important because it appears to distinguish the group in Revelation 15:2 from the first-resurrection group in Revelation 20:4. The group in 15:2 is portrayed as already standing in heaven before Jesus comes “as a thief” (16:15), and that thief-like coming is then marked by His visible appearance on the white horse before the principal adversaries are removed (19:11–21). This suggests a gap in time between those seen in heaven in 15:2 and the first resurrection described in 20:4, meaning that when 15:2 occurs, the dead are not yet raised first.
If Revelation 15:2 is connected to the events described in 2 Thessalonians 2:1 and Matthew 24:30–31, this sequence becomes more coherent, because neither of those external texts places the resurrection as the central point of emphasis when the saints are gathered after the beast’s rule during the tribulation. Also, those in Revelation 15:2 and 20:4 are described distinctly as people connected to the tribulation; the language is largely specific to those who endured the beast’s persecution. This is important because it excludes those who died before the final seven years and before the beast appears, leaving room for an unexpected resurrection of those prior saints who had died in the Lord — that is, a resurrection that occurs before the "first resurrection".
Now, it is important to understand that just because Revelation labels the resurrection in 20:4 as the “first resurrection,” this does not necessarily limit the number of resurrections that may occur before that point. The term “first” is best understood within the immediate context of the two resurrections that bookend the 1,000 years. If “first” were taken absolutely, meaning the first resurrection of any kind in all of biblical history, then it would create an unnecessary contradiction, since the two witnesses have already been raised before the first resurrection of Revelation 20:4. Therefore, the “first resurrection” appears to refer to the first resurrection of its kind within the given context: a mass resurrection after judgment, not a prior resurrection before judgment.</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815"/>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816"/>
      </w:r>
      <w:r>
        <w:rPr/>
        <w:t xml:space="preserve"> should be </w:t>
      </w:r>
      <w:r>
        <w:rPr>
          <w:b w:val="1"/>
          <w:bCs w:val="1"/>
        </w:rPr>
        <w:t xml:space="preserve">fulfilled</w:t>
      </w:r>
      <w:r>
        <w:rPr/>
        <w:t xml:space="preserve"> </w:t>
      </w:r>
      <w:r>
        <w:rPr>
          <w:rStyle w:val="FootnoteReference"/>
        </w:rPr>
        <w:footnoteReference w:id="817"/>
      </w:r>
      <w:r>
        <w:rPr/>
        <w:t xml:space="preserve">: and after this he must be loosed a small season.</w:t>
      </w:r>
    </w:p>
    <w:p>
      <w:pPr>
        <w:spacing w:after="150"/>
      </w:pPr>
      <w:r>
        <w:rPr/>
        <w:t xml:space="preserve"/>
      </w:r>
    </w:p>
    <w:p>
      <w:pPr>
        <w:pStyle w:val="Heading3"/>
      </w:pPr>
      <w:bookmarkStart w:id="118" w:name="_Toc118"/>
      <w:r>
        <w:t>Living Saints Rule and First Resurrection</w:t>
      </w:r>
      <w:bookmarkEnd w:id="118"/>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818"/>
      </w:r>
      <w:r>
        <w:rPr/>
        <w:t xml:space="preserve"> of those who were beheaded for </w:t>
      </w:r>
      <w:r>
        <w:rPr>
          <w:b w:val="1"/>
          <w:bCs w:val="1"/>
        </w:rPr>
        <w:t xml:space="preserve">the testimony of Jesus</w:t>
      </w:r>
      <w:r>
        <w:rPr/>
        <w:t xml:space="preserve"> </w:t>
      </w:r>
      <w:r>
        <w:rPr>
          <w:rStyle w:val="FootnoteReference"/>
        </w:rPr>
        <w:footnoteReference w:id="819"/>
      </w:r>
      <w:r>
        <w:rPr/>
        <w:t xml:space="preserve">, and for the word of God, and who had not worshipped the </w:t>
      </w:r>
      <w:r>
        <w:rPr>
          <w:b w:val="1"/>
          <w:bCs w:val="1"/>
        </w:rPr>
        <w:t xml:space="preserve">beast</w:t>
      </w:r>
      <w:r>
        <w:rPr/>
        <w:t xml:space="preserve"> </w:t>
      </w:r>
      <w:r>
        <w:rPr>
          <w:rStyle w:val="FootnoteReference"/>
        </w:rPr>
        <w:footnoteReference w:id="820"/>
      </w:r>
      <w:r>
        <w:rPr/>
        <w:t xml:space="preserve">, neither his </w:t>
      </w:r>
      <w:r>
        <w:rPr>
          <w:b w:val="1"/>
          <w:bCs w:val="1"/>
        </w:rPr>
        <w:t xml:space="preserve">image</w:t>
      </w:r>
      <w:r>
        <w:rPr/>
        <w:t xml:space="preserve"> </w:t>
      </w:r>
      <w:r>
        <w:rPr>
          <w:rStyle w:val="FootnoteReference"/>
        </w:rPr>
        <w:footnoteReference w:id="821"/>
      </w:r>
      <w:r>
        <w:rPr/>
        <w:t xml:space="preserve">, nor had received his </w:t>
      </w:r>
      <w:r>
        <w:rPr>
          <w:b w:val="1"/>
          <w:bCs w:val="1"/>
        </w:rPr>
        <w:t xml:space="preserve">mark</w:t>
      </w:r>
      <w:r>
        <w:rPr/>
        <w:t xml:space="preserve"> </w:t>
      </w:r>
      <w:r>
        <w:rPr>
          <w:rStyle w:val="FootnoteReference"/>
        </w:rPr>
        <w:footnoteReference w:id="822"/>
      </w:r>
      <w:r>
        <w:rPr/>
        <w:t xml:space="preserve"> upon their </w:t>
      </w:r>
      <w:r>
        <w:rPr>
          <w:b w:val="1"/>
          <w:bCs w:val="1"/>
        </w:rPr>
        <w:t xml:space="preserve">foreheads</w:t>
      </w:r>
      <w:r>
        <w:rPr/>
        <w:t xml:space="preserve"> </w:t>
      </w:r>
      <w:r>
        <w:rPr>
          <w:rStyle w:val="FootnoteReference"/>
        </w:rPr>
        <w:footnoteReference w:id="823"/>
      </w:r>
      <w:r>
        <w:rPr/>
        <w:t xml:space="preserve">, or in their hands; and they lived and reigned with Christ a </w:t>
      </w:r>
      <w:r>
        <w:rPr>
          <w:b w:val="1"/>
          <w:bCs w:val="1"/>
        </w:rPr>
        <w:t xml:space="preserve">thousand years</w:t>
      </w:r>
      <w:r>
        <w:rPr/>
        <w:t xml:space="preserve"> </w:t>
      </w:r>
      <w:r>
        <w:rPr>
          <w:rStyle w:val="FootnoteReference"/>
        </w:rPr>
        <w:footnoteReference w:id="824"/>
      </w:r>
      <w:r>
        <w:rPr/>
        <w:t xml:space="preserve"> </w:t>
      </w:r>
      <w:r>
        <w:rPr>
          <w:rStyle w:val="FootnoteReference"/>
        </w:rPr>
        <w:footnoteReference w:id="825"/>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jc w:val="left"/>
        <w:ind w:left="360" w:right="0" w:firstLine="0" w:hanging="0"/>
        <w:spacing w:after="60"/>
      </w:pPr>
      <w:r>
        <w:rPr>
          <w:sz w:val="18"/>
          <w:szCs w:val="18"/>
          <w:i w:val="1"/>
          <w:iCs w:val="1"/>
        </w:rPr>
        <w:t xml:space="preserve">[fn] The word translated “beheaded,” πεπελεκισμένων, comes from πελεκίζω, to execute with an axe; it occurs only here in the New Testament.</w:t>
      </w:r>
    </w:p>
    <w:p>
      <w:pPr>
        <w:jc w:val="left"/>
        <w:ind w:left="360" w:right="0" w:firstLine="0" w:hanging="0"/>
        <w:spacing w:after="60"/>
      </w:pPr>
      <w:r>
        <w:rPr>
          <w:sz w:val="18"/>
          <w:szCs w:val="18"/>
          <w:i w:val="1"/>
          <w:iCs w:val="1"/>
        </w:rPr>
        <w:t xml:space="preserve">[fn] This verse binds the end of Revelation 19 with the start of Revelation 20. Here, the forty-two months of the beast’s limited rule come to a close, and those associated with him by their death are seen raised. Thus, the passage bridges the beast’s fall with the raising of these saints.</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826"/>
      </w:r>
      <w:r>
        <w:rPr/>
        <w:t xml:space="preserve"> </w:t>
      </w:r>
      <w:r>
        <w:rPr>
          <w:rStyle w:val="FootnoteReference"/>
        </w:rPr>
        <w:footnoteReference w:id="827"/>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828"/>
      </w:r>
      <w:r>
        <w:rPr/>
        <w:t xml:space="preserve"> and holy is he who has part in the first resurrection: on such the second death has no power, but </w:t>
      </w:r>
      <w:r>
        <w:rPr>
          <w:b w:val="1"/>
          <w:bCs w:val="1"/>
        </w:rPr>
        <w:t xml:space="preserve">they shall be priests</w:t>
      </w:r>
      <w:r>
        <w:rPr/>
        <w:t xml:space="preserve"> </w:t>
      </w:r>
      <w:r>
        <w:rPr>
          <w:rStyle w:val="FootnoteReference"/>
        </w:rPr>
        <w:footnoteReference w:id="829"/>
      </w:r>
      <w:r>
        <w:rPr/>
        <w:t xml:space="preserve"> of God and of Christ, and shall reign with him a </w:t>
      </w:r>
      <w:r>
        <w:rPr>
          <w:b w:val="1"/>
          <w:bCs w:val="1"/>
        </w:rPr>
        <w:t xml:space="preserve">thousand years</w:t>
      </w:r>
      <w:r>
        <w:rPr/>
        <w:t xml:space="preserve"> </w:t>
      </w:r>
      <w:r>
        <w:rPr>
          <w:rStyle w:val="FootnoteReference"/>
        </w:rPr>
        <w:footnoteReference w:id="830"/>
      </w:r>
      <w:r>
        <w:rPr/>
        <w:t xml:space="preserve">.</w:t>
      </w:r>
    </w:p>
    <w:p>
      <w:pPr>
        <w:spacing w:after="150"/>
      </w:pPr>
      <w:r>
        <w:rPr/>
        <w:t xml:space="preserve"/>
      </w:r>
    </w:p>
    <w:p>
      <w:pPr>
        <w:pStyle w:val="Heading3"/>
      </w:pPr>
      <w:bookmarkStart w:id="119" w:name="_Toc119"/>
      <w:r>
        <w:t>1000 Year Ends and Satan Loosed From Bottomless Pit</w:t>
      </w:r>
      <w:bookmarkEnd w:id="119"/>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831"/>
      </w:r>
      <w:r>
        <w:rPr/>
        <w:t xml:space="preserve"> are expired, Satan shall be loosed out of his </w:t>
      </w:r>
      <w:r>
        <w:rPr>
          <w:b w:val="1"/>
          <w:bCs w:val="1"/>
        </w:rPr>
        <w:t xml:space="preserve">prison</w:t>
      </w:r>
      <w:r>
        <w:rPr/>
        <w:t xml:space="preserve"> </w:t>
      </w:r>
      <w:r>
        <w:rPr>
          <w:rStyle w:val="FootnoteReference"/>
        </w:rPr>
        <w:footnoteReference w:id="832"/>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w:t>
      </w:r>
      <w:r>
        <w:rPr>
          <w:b w:val="1"/>
          <w:bCs w:val="1"/>
        </w:rPr>
        <w:t xml:space="preserve">gather</w:t>
      </w:r>
      <w:r>
        <w:rPr>
          <w:rStyle w:val="FootnoteReference"/>
        </w:rPr>
        <w:footnoteReference w:id="833"/>
      </w:r>
      <w:r>
        <w:rPr/>
        <w:t xml:space="preserve">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834"/>
      </w:r>
      <w:r>
        <w:rPr/>
        <w:t xml:space="preserve"> </w:t>
      </w:r>
      <w:r>
        <w:rPr>
          <w:rStyle w:val="FootnoteReference"/>
        </w:rPr>
        <w:footnoteReference w:id="835"/>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836"/>
      </w:r>
      <w:r>
        <w:rPr/>
        <w:t xml:space="preserve"> and brimstone, </w:t>
      </w:r>
      <w:r>
        <w:rPr>
          <w:b w:val="1"/>
          <w:bCs w:val="1"/>
        </w:rPr>
        <w:t xml:space="preserve">where the beast and the false prophet are</w:t>
      </w:r>
      <w:r>
        <w:rPr>
          <w:rStyle w:val="FootnoteReference"/>
        </w:rPr>
        <w:footnoteReference w:id="837"/>
      </w:r>
      <w:r>
        <w:rPr/>
        <w:t xml:space="preserve">, and shall be tormented day and night unto the ages of the ages.</w:t>
      </w:r>
    </w:p>
    <w:p>
      <w:pPr>
        <w:jc w:val="left"/>
        <w:ind w:left="360" w:right="0" w:firstLine="0" w:hanging="0"/>
        <w:spacing w:after="60"/>
      </w:pPr>
      <w:r>
        <w:rPr>
          <w:sz w:val="18"/>
          <w:szCs w:val="18"/>
          <w:i w:val="1"/>
          <w:iCs w:val="1"/>
        </w:rPr>
        <w:t xml:space="preserve">[fn] Perdition.</w:t>
      </w:r>
    </w:p>
    <w:p>
      <w:pPr>
        <w:jc w:val="left"/>
        <w:ind w:left="360" w:right="0" w:firstLine="0" w:hanging="0"/>
        <w:spacing w:after="60"/>
      </w:pPr>
      <w:r>
        <w:rPr>
          <w:sz w:val="18"/>
          <w:szCs w:val="18"/>
          <w:i w:val="1"/>
          <w:iCs w:val="1"/>
        </w:rPr>
        <w:t xml:space="preserve">[fn] Note that the lake of fire is described as the place where “the beast and the false prophet are.” This means they have not been annihilated or removed from existence, but continue to exist within the lake of fire. The wording communicates the severity of the lake of fire: it is not merely destruction in the sense of nonexistence, but a place of ongoing judgment.</w:t>
      </w:r>
    </w:p>
    <w:p>
      <w:pPr>
        <w:spacing w:after="150"/>
      </w:pPr>
      <w:r>
        <w:rPr/>
        <w:t xml:space="preserve"/>
      </w:r>
    </w:p>
    <w:p>
      <w:pPr>
        <w:pStyle w:val="Heading3"/>
      </w:pPr>
      <w:bookmarkStart w:id="120" w:name="_Toc120"/>
      <w:r>
        <w:t>White Throne</w:t>
      </w:r>
      <w:bookmarkEnd w:id="120"/>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838"/>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w:t>
      </w:r>
      <w:r>
        <w:rPr>
          <w:b w:val="1"/>
          <w:bCs w:val="1"/>
        </w:rPr>
        <w:t xml:space="preserve">the dead</w:t>
      </w:r>
      <w:r>
        <w:rPr/>
        <w:t xml:space="preserve"> </w:t>
      </w:r>
      <w:r>
        <w:rPr>
          <w:rStyle w:val="FootnoteReference"/>
        </w:rPr>
        <w:footnoteReference w:id="839"/>
      </w:r>
      <w:r>
        <w:rPr/>
        <w:t xml:space="preserve">,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840"/>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841"/>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842"/>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843"/>
      </w:r>
      <w:r>
        <w:rPr/>
        <w:t xml:space="preserve">.</w:t>
      </w:r>
    </w:p>
    <w:p>
      <w:pPr>
        <w:spacing w:after="150"/>
      </w:pPr>
      <w:r>
        <w:rPr/>
        <w:t xml:space="preserve"/>
      </w:r>
    </w:p>
    <w:p>
      <w:pPr>
        <w:pStyle w:val="Heading3"/>
      </w:pPr>
      <w:bookmarkStart w:id="121" w:name="_Toc121"/>
      <w:r>
        <w:t>Second Death</w:t>
      </w:r>
      <w:bookmarkEnd w:id="121"/>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844"/>
      </w:r>
      <w:r>
        <w:rPr/>
        <w:t xml:space="preserve"> were cast into the </w:t>
      </w:r>
      <w:r>
        <w:rPr>
          <w:b w:val="1"/>
          <w:bCs w:val="1"/>
        </w:rPr>
        <w:t xml:space="preserve">lake of fire</w:t>
      </w:r>
      <w:r>
        <w:rPr/>
        <w:t xml:space="preserve"> </w:t>
      </w:r>
      <w:r>
        <w:rPr>
          <w:rStyle w:val="FootnoteReference"/>
        </w:rPr>
        <w:footnoteReference w:id="845"/>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846"/>
      </w:r>
      <w:r>
        <w:rPr/>
        <w:t xml:space="preserve"> was cast into </w:t>
      </w:r>
      <w:r>
        <w:rPr>
          <w:rStyle w:val="FootnoteReference"/>
        </w:rPr>
        <w:footnoteReference w:id="847"/>
      </w:r>
      <w:r>
        <w:rPr/>
        <w:t xml:space="preserve"> the </w:t>
      </w:r>
      <w:r>
        <w:rPr>
          <w:b w:val="1"/>
          <w:bCs w:val="1"/>
        </w:rPr>
        <w:t xml:space="preserve">lake of fire</w:t>
      </w:r>
      <w:r>
        <w:rPr/>
        <w:t xml:space="preserve"> </w:t>
      </w:r>
      <w:r>
        <w:rPr>
          <w:rStyle w:val="FootnoteReference"/>
        </w:rPr>
        <w:footnoteReference w:id="848"/>
      </w:r>
      <w:r>
        <w:rPr/>
        <w:t xml:space="preserve">.</w:t>
      </w:r>
    </w:p>
    <w:p>
      <w:pPr>
        <w:spacing w:after="150"/>
      </w:pPr>
      <w:r>
        <w:rPr/>
        <w:t xml:space="preserve"/>
      </w:r>
    </w:p>
    <w:p>
      <w:pPr>
        <w:pStyle w:val="Heading3"/>
      </w:pPr>
      <w:bookmarkStart w:id="122" w:name="_Toc122"/>
      <w:r>
        <w:t>The New Heaven and Earth</w:t>
      </w:r>
      <w:bookmarkEnd w:id="122"/>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849"/>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850"/>
      </w:r>
      <w:r>
        <w:rPr/>
        <w:t xml:space="preserve">.</w:t>
      </w:r>
    </w:p>
    <w:p>
      <w:pPr>
        <w:spacing w:after="150"/>
      </w:pPr>
      <w:r>
        <w:rPr/>
        <w:t xml:space="preserve"/>
      </w:r>
    </w:p>
    <w:p>
      <w:pPr>
        <w:pStyle w:val="Heading3"/>
      </w:pPr>
      <w:bookmarkStart w:id="123" w:name="_Toc123"/>
      <w:r>
        <w:t>All Things Made New</w:t>
      </w:r>
      <w:bookmarkEnd w:id="123"/>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851"/>
      </w:r>
      <w:r>
        <w:rPr/>
        <w:t xml:space="preserve"> saying, Behold, </w:t>
      </w:r>
      <w:r>
        <w:rPr>
          <w:b w:val="1"/>
          <w:bCs w:val="1"/>
        </w:rPr>
        <w:t xml:space="preserve">the tabernacle of God</w:t>
      </w:r>
      <w:r>
        <w:rPr/>
        <w:t xml:space="preserve"> </w:t>
      </w:r>
      <w:r>
        <w:rPr>
          <w:rStyle w:val="FootnoteReference"/>
        </w:rPr>
        <w:footnoteReference w:id="852"/>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853"/>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854"/>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855"/>
      </w:r>
      <w:r>
        <w:rPr/>
        <w:t xml:space="preserve">. I am </w:t>
      </w:r>
      <w:r>
        <w:rPr>
          <w:b w:val="1"/>
          <w:bCs w:val="1"/>
        </w:rPr>
        <w:t xml:space="preserve">Alpha and Omega, the beginning and the end</w:t>
      </w:r>
      <w:r>
        <w:rPr/>
        <w:t xml:space="preserve"> </w:t>
      </w:r>
      <w:r>
        <w:rPr>
          <w:rStyle w:val="FootnoteReference"/>
        </w:rPr>
        <w:footnoteReference w:id="856"/>
      </w:r>
      <w:r>
        <w:rPr/>
        <w:t xml:space="preserve">. I will give unto him that is </w:t>
      </w:r>
      <w:r>
        <w:rPr>
          <w:b w:val="1"/>
          <w:bCs w:val="1"/>
        </w:rPr>
        <w:t xml:space="preserve">athirst</w:t>
      </w:r>
      <w:r>
        <w:rPr/>
        <w:t xml:space="preserve"> </w:t>
      </w:r>
      <w:r>
        <w:rPr>
          <w:rStyle w:val="FootnoteReference"/>
        </w:rPr>
        <w:footnoteReference w:id="857"/>
      </w:r>
      <w:r>
        <w:rPr/>
        <w:t xml:space="preserve"> of the fountain of the </w:t>
      </w:r>
      <w:r>
        <w:rPr>
          <w:b w:val="1"/>
          <w:bCs w:val="1"/>
        </w:rPr>
        <w:t xml:space="preserve">water of life</w:t>
      </w:r>
      <w:r>
        <w:rPr/>
        <w:t xml:space="preserve"> </w:t>
      </w:r>
      <w:r>
        <w:rPr>
          <w:rStyle w:val="FootnoteReference"/>
        </w:rPr>
        <w:footnoteReference w:id="858"/>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859"/>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860"/>
      </w:r>
      <w:r>
        <w:rPr/>
        <w:t xml:space="preserve">, shall have their part in the lake which burns with </w:t>
      </w:r>
      <w:r>
        <w:rPr>
          <w:b w:val="1"/>
          <w:bCs w:val="1"/>
        </w:rPr>
        <w:t xml:space="preserve">fire and brimstone</w:t>
      </w:r>
      <w:r>
        <w:rPr/>
        <w:t xml:space="preserve"> </w:t>
      </w:r>
      <w:r>
        <w:rPr>
          <w:rStyle w:val="FootnoteReference"/>
        </w:rPr>
        <w:footnoteReference w:id="861"/>
      </w:r>
      <w:r>
        <w:rPr/>
        <w:t xml:space="preserve"> </w:t>
      </w:r>
      <w:r>
        <w:rPr>
          <w:rStyle w:val="FootnoteReference"/>
        </w:rPr>
        <w:footnoteReference w:id="862"/>
      </w:r>
      <w:r>
        <w:rPr/>
        <w:t xml:space="preserve">: which is the second death.</w:t>
      </w:r>
    </w:p>
    <w:p>
      <w:pPr>
        <w:jc w:val="center"/>
        <w:spacing w:before="120" w:after="60"/>
      </w:pPr>
      <w:r>
        <w:rPr>
          <w:sz w:val="36"/>
          <w:szCs w:val="36"/>
          <w:b w:val="1"/>
          <w:bCs w:val="1"/>
        </w:rPr>
        <w:t xml:space="preserve">✶</w:t>
      </w:r>
    </w:p>
    <w:p>
      <w:pPr>
        <w:pStyle w:val="Heading2"/>
      </w:pPr>
      <w:bookmarkStart w:id="124" w:name="_Toc124"/>
      <w:r>
        <w:t>The Bride</w:t>
      </w:r>
      <w:bookmarkEnd w:id="124"/>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863"/>
      </w:r>
      <w:r>
        <w:rPr/>
        <w:t xml:space="preserve">, I will show you the </w:t>
      </w:r>
      <w:r>
        <w:rPr>
          <w:b w:val="1"/>
          <w:bCs w:val="1"/>
        </w:rPr>
        <w:t xml:space="preserve">bride, the wife of the Lamb</w:t>
      </w:r>
      <w:r>
        <w:rPr/>
        <w:t xml:space="preserve"> </w:t>
      </w:r>
      <w:r>
        <w:rPr>
          <w:rStyle w:val="FootnoteReference"/>
        </w:rPr>
        <w:footnoteReference w:id="864"/>
      </w:r>
      <w:r>
        <w:rPr/>
        <w:t xml:space="preserve">.</w:t>
      </w:r>
    </w:p>
    <w:p>
      <w:pPr>
        <w:spacing w:after="150"/>
      </w:pPr>
      <w:r>
        <w:rPr/>
        <w:t xml:space="preserve"/>
      </w:r>
    </w:p>
    <w:p>
      <w:pPr>
        <w:pStyle w:val="Heading3"/>
      </w:pPr>
      <w:bookmarkStart w:id="125" w:name="_Toc125"/>
      <w:r>
        <w:t>The New Jerusalem</w:t>
      </w:r>
      <w:bookmarkEnd w:id="125"/>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865"/>
      </w:r>
      <w:r>
        <w:rPr/>
        <w:t xml:space="preserve">, and showed me that</w:t>
      </w:r>
      <w:r>
        <w:rPr/>
        <w:t xml:space="preserve"> </w:t>
      </w:r>
      <w:r>
        <w:rPr>
          <w:b w:val="1"/>
          <w:bCs w:val="1"/>
        </w:rPr>
        <w:t xml:space="preserve">the holy city</w:t>
      </w:r>
      <w:r>
        <w:rPr/>
        <w:t xml:space="preserve"> </w:t>
      </w:r>
      <w:r>
        <w:rPr>
          <w:rStyle w:val="FootnoteReference"/>
        </w:rPr>
        <w:footnoteReference w:id="866"/>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867"/>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868"/>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6" w:name="_Toc126"/>
      <w:r>
        <w:t>Most Holy, Holy of Holies City</w:t>
      </w:r>
      <w:bookmarkEnd w:id="126"/>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7" w:name="_Toc127"/>
      <w:r>
        <w:t>The Pure Wife Eternal Worth and Worthiness</w:t>
      </w:r>
      <w:bookmarkEnd w:id="127"/>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869"/>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870"/>
      </w:r>
    </w:p>
    <w:p>
      <w:pPr>
        <w:spacing w:after="150"/>
      </w:pPr>
      <w:r>
        <w:rPr/>
        <w:t xml:space="preserve"/>
      </w:r>
    </w:p>
    <w:p>
      <w:pPr>
        <w:pStyle w:val="Heading3"/>
      </w:pPr>
      <w:bookmarkStart w:id="128" w:name="_Toc128"/>
      <w:r>
        <w:t>No Temple</w:t>
      </w:r>
      <w:bookmarkEnd w:id="128"/>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871"/>
      </w:r>
      <w:r>
        <w:rPr/>
        <w:t xml:space="preserve">: for the Lord God Almighty and the Lamb are the temple of it.</w:t>
      </w:r>
    </w:p>
    <w:p>
      <w:pPr>
        <w:spacing w:after="150"/>
      </w:pPr>
      <w:r>
        <w:rPr/>
        <w:t xml:space="preserve"/>
      </w:r>
    </w:p>
    <w:p>
      <w:pPr>
        <w:pStyle w:val="Heading3"/>
      </w:pPr>
      <w:bookmarkStart w:id="129" w:name="_Toc129"/>
      <w:r>
        <w:t>God is Their Father, Jesus is Their Husband</w:t>
      </w:r>
      <w:bookmarkEnd w:id="129"/>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872"/>
      </w:r>
      <w:r>
        <w:rPr/>
        <w:t xml:space="preserve"> </w:t>
      </w:r>
      <w:r>
        <w:rPr>
          <w:rStyle w:val="FootnoteReference"/>
        </w:rPr>
        <w:footnoteReference w:id="873"/>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874"/>
      </w:r>
      <w:r>
        <w:rPr/>
        <w:t xml:space="preserve">: and the </w:t>
      </w:r>
      <w:r>
        <w:rPr>
          <w:b w:val="1"/>
          <w:bCs w:val="1"/>
        </w:rPr>
        <w:t xml:space="preserve">kings of the earth do bring their glory</w:t>
      </w:r>
      <w:r>
        <w:rPr/>
        <w:t xml:space="preserve"> </w:t>
      </w:r>
      <w:r>
        <w:rPr>
          <w:rStyle w:val="FootnoteReference"/>
        </w:rPr>
        <w:footnoteReference w:id="875"/>
      </w:r>
      <w:r>
        <w:rPr/>
        <w:t xml:space="preserve"> </w:t>
      </w:r>
      <w:r>
        <w:rPr>
          <w:rStyle w:val="FootnoteReference"/>
        </w:rPr>
        <w:footnoteReference w:id="876"/>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877"/>
      </w:r>
      <w:r>
        <w:rPr/>
        <w:t xml:space="preserve"> of the nations into it. </w:t>
      </w:r>
      <w:r>
        <w:rPr>
          <w:rStyle w:val="FootnoteReference"/>
        </w:rPr>
        <w:footnoteReference w:id="878"/>
      </w:r>
    </w:p>
    <w:p>
      <w:pPr>
        <w:spacing w:after="150"/>
      </w:pPr>
      <w:r>
        <w:rPr/>
        <w:t xml:space="preserve"/>
      </w:r>
    </w:p>
    <w:p>
      <w:pPr>
        <w:pStyle w:val="Heading3"/>
      </w:pPr>
      <w:bookmarkStart w:id="130" w:name="_Toc130"/>
      <w:r>
        <w:t>No Evil Persons</w:t>
      </w:r>
      <w:bookmarkEnd w:id="130"/>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w:t>
      </w:r>
      <w:r>
        <w:rPr>
          <w:b w:val="1"/>
          <w:bCs w:val="1"/>
        </w:rPr>
        <w:t xml:space="preserve">lie</w:t>
      </w:r>
      <w:r>
        <w:rPr/>
        <w:t xml:space="preserve"> </w:t>
      </w:r>
      <w:r>
        <w:rPr>
          <w:rStyle w:val="FootnoteReference"/>
        </w:rPr>
        <w:footnoteReference w:id="879"/>
      </w:r>
      <w:r>
        <w:rPr/>
        <w:t xml:space="preserve">: but they who are written in the </w:t>
      </w:r>
      <w:r>
        <w:rPr>
          <w:b w:val="1"/>
          <w:bCs w:val="1"/>
        </w:rPr>
        <w:t xml:space="preserve">book of life of the Lamb</w:t>
      </w:r>
      <w:r>
        <w:rPr/>
        <w:t xml:space="preserve"> </w:t>
      </w:r>
      <w:r>
        <w:rPr>
          <w:rStyle w:val="FootnoteReference"/>
        </w:rPr>
        <w:footnoteReference w:id="880"/>
      </w:r>
      <w:r>
        <w:rPr/>
        <w:t xml:space="preserve">.</w:t>
      </w:r>
    </w:p>
    <w:p>
      <w:pPr>
        <w:spacing w:after="150"/>
      </w:pPr>
      <w:r>
        <w:rPr/>
        <w:t xml:space="preserve"/>
      </w:r>
    </w:p>
    <w:p>
      <w:pPr>
        <w:pStyle w:val="Heading3"/>
      </w:pPr>
      <w:bookmarkStart w:id="131" w:name="_Toc131"/>
      <w:r>
        <w:t>The River and the Tree of Life</w:t>
      </w:r>
      <w:bookmarkEnd w:id="131"/>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881"/>
      </w:r>
      <w:r>
        <w:rPr/>
        <w:t xml:space="preserve">, bright as crystal, proceeding out of the </w:t>
      </w:r>
      <w:r>
        <w:rPr>
          <w:b w:val="1"/>
          <w:bCs w:val="1"/>
        </w:rPr>
        <w:t xml:space="preserve">throne of God and of the Lamb</w:t>
      </w:r>
      <w:r>
        <w:rPr/>
        <w:t xml:space="preserve"> </w:t>
      </w:r>
      <w:r>
        <w:rPr>
          <w:rStyle w:val="FootnoteReference"/>
        </w:rPr>
        <w:footnoteReference w:id="882"/>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83"/>
      </w:r>
      <w:r>
        <w:rPr/>
        <w:t xml:space="preserve">, was there the </w:t>
      </w:r>
      <w:r>
        <w:rPr>
          <w:b w:val="1"/>
          <w:bCs w:val="1"/>
        </w:rPr>
        <w:t xml:space="preserve">tree of life</w:t>
      </w:r>
      <w:r>
        <w:rPr/>
        <w:t xml:space="preserve"> </w:t>
      </w:r>
      <w:r>
        <w:rPr>
          <w:rStyle w:val="FootnoteReference"/>
        </w:rPr>
        <w:footnoteReference w:id="884"/>
      </w:r>
      <w:r>
        <w:rPr/>
        <w:t xml:space="preserve">, with its twelve manner of fruits, and yielded its fruit every month: and the leaves of the tree were for the healing of the nations. </w:t>
      </w:r>
      <w:r>
        <w:rPr>
          <w:rStyle w:val="FootnoteReference"/>
        </w:rPr>
        <w:footnoteReference w:id="885"/>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86"/>
      </w:r>
      <w:r>
        <w:rPr/>
        <w:t xml:space="preserve">: but the </w:t>
      </w:r>
      <w:r>
        <w:rPr>
          <w:b w:val="1"/>
          <w:bCs w:val="1"/>
        </w:rPr>
        <w:t xml:space="preserve">throne of God and of the Lamb</w:t>
      </w:r>
      <w:r>
        <w:rPr/>
        <w:t xml:space="preserve"> shall be in it </w:t>
      </w:r>
      <w:r>
        <w:rPr>
          <w:rStyle w:val="FootnoteReference"/>
        </w:rPr>
        <w:footnoteReference w:id="887"/>
      </w:r>
      <w:r>
        <w:rPr/>
        <w:t xml:space="preserve">; and his servants shall serve him:</w:t>
      </w:r>
    </w:p>
    <w:p>
      <w:pPr>
        <w:spacing w:after="150"/>
      </w:pPr>
      <w:r>
        <w:rPr/>
        <w:t xml:space="preserve"/>
      </w:r>
    </w:p>
    <w:p>
      <w:pPr>
        <w:pStyle w:val="Heading3"/>
      </w:pPr>
      <w:bookmarkStart w:id="132" w:name="_Toc132"/>
      <w:r>
        <w:t>All Saints See God's Face and Have His Seal</w:t>
      </w:r>
      <w:bookmarkEnd w:id="132"/>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88"/>
      </w:r>
      <w:r>
        <w:rPr/>
        <w:t xml:space="preserve"> </w:t>
      </w:r>
      <w:r>
        <w:rPr>
          <w:rStyle w:val="FootnoteReference"/>
        </w:rPr>
        <w:footnoteReference w:id="889"/>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unto the ages of the ages.</w:t>
      </w:r>
    </w:p>
    <w:p>
      <w:pPr>
        <w:spacing w:after="150"/>
      </w:pPr>
      <w:r>
        <w:rPr/>
        <w:t xml:space="preserve"/>
      </w:r>
    </w:p>
    <w:p>
      <w:pPr>
        <w:pStyle w:val="Heading3"/>
      </w:pPr>
      <w:bookmarkStart w:id="133" w:name="_Toc133"/>
      <w:r>
        <w:t>The Brethren Prophet Messenger: Holder of a Vial Judgement</w:t>
      </w:r>
      <w:bookmarkEnd w:id="133"/>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90"/>
      </w:r>
      <w:r>
        <w:rPr/>
        <w:t xml:space="preserve"> to show unto his servants the </w:t>
      </w:r>
      <w:r>
        <w:rPr>
          <w:b w:val="1"/>
          <w:bCs w:val="1"/>
        </w:rPr>
        <w:t xml:space="preserve">things which must shortly be done</w:t>
      </w:r>
      <w:r>
        <w:rPr/>
        <w:t xml:space="preserve"> </w:t>
      </w:r>
      <w:r>
        <w:rPr>
          <w:rStyle w:val="FootnoteReference"/>
        </w:rPr>
        <w:footnoteReference w:id="891"/>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92"/>
      </w:r>
      <w:r>
        <w:rPr/>
        <w:t xml:space="preserve">: </w:t>
      </w:r>
      <w:r>
        <w:rPr>
          <w:b w:val="1"/>
          <w:bCs w:val="1"/>
        </w:rPr>
        <w:t xml:space="preserve">blessed</w:t>
      </w:r>
      <w:r>
        <w:rPr/>
        <w:t xml:space="preserve"> </w:t>
      </w:r>
      <w:r>
        <w:rPr>
          <w:rStyle w:val="FootnoteReference"/>
        </w:rPr>
        <w:footnoteReference w:id="893"/>
      </w:r>
      <w:r>
        <w:rPr/>
        <w:t xml:space="preserve"> is he who keeps the sayings of the </w:t>
      </w:r>
      <w:r>
        <w:rPr>
          <w:b w:val="1"/>
          <w:bCs w:val="1"/>
        </w:rPr>
        <w:t xml:space="preserve">prophecy of this book</w:t>
      </w:r>
      <w:r>
        <w:rPr/>
        <w:t xml:space="preserve"> </w:t>
      </w:r>
      <w:r>
        <w:rPr>
          <w:rStyle w:val="FootnoteReference"/>
        </w:rPr>
        <w:footnoteReference w:id="894"/>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895"/>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96"/>
      </w:r>
      <w:r>
        <w:rPr/>
        <w:t xml:space="preserve"> the prophets, and of those who keep the </w:t>
      </w:r>
      <w:r>
        <w:rPr>
          <w:b w:val="1"/>
          <w:bCs w:val="1"/>
        </w:rPr>
        <w:t xml:space="preserve">sayings of this book</w:t>
      </w:r>
      <w:r>
        <w:rPr/>
        <w:t xml:space="preserve"> </w:t>
      </w:r>
      <w:r>
        <w:rPr>
          <w:rStyle w:val="FootnoteReference"/>
        </w:rPr>
        <w:footnoteReference w:id="897"/>
      </w:r>
      <w:r>
        <w:rPr/>
        <w:t xml:space="preserve">: worship God.</w:t>
      </w:r>
    </w:p>
    <w:p>
      <w:pPr>
        <w:jc w:val="center"/>
        <w:spacing w:before="120" w:after="60"/>
      </w:pPr>
      <w:r>
        <w:rPr>
          <w:sz w:val="36"/>
          <w:szCs w:val="36"/>
          <w:b w:val="1"/>
          <w:bCs w:val="1"/>
        </w:rPr>
        <w:t xml:space="preserve">✶</w:t>
      </w:r>
    </w:p>
    <w:p>
      <w:pPr>
        <w:pStyle w:val="Heading2"/>
      </w:pPr>
      <w:bookmarkStart w:id="134" w:name="_Toc134"/>
      <w:r>
        <w:t>The Final Message</w:t>
      </w:r>
      <w:bookmarkEnd w:id="134"/>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98"/>
      </w:r>
      <w:r>
        <w:rPr/>
        <w:t xml:space="preserve"> </w:t>
      </w:r>
      <w:r>
        <w:rPr>
          <w:rStyle w:val="FootnoteReference"/>
        </w:rPr>
        <w:footnoteReference w:id="899"/>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w:t>
      </w:r>
      <w:r>
        <w:rPr>
          <w:b w:val="1"/>
          <w:bCs w:val="1"/>
        </w:rPr>
        <w:t xml:space="preserve">I come quickly</w:t>
      </w:r>
      <w:r>
        <w:rPr/>
        <w:t xml:space="preserve"> </w:t>
      </w:r>
      <w:r>
        <w:rPr>
          <w:rStyle w:val="FootnoteReference"/>
        </w:rPr>
        <w:footnoteReference w:id="900"/>
      </w:r>
      <w:r>
        <w:rPr/>
        <w:t xml:space="preserve">; and </w:t>
      </w:r>
      <w:r>
        <w:rPr>
          <w:b w:val="1"/>
          <w:bCs w:val="1"/>
        </w:rPr>
        <w:t xml:space="preserve">my reward</w:t>
      </w:r>
      <w:r>
        <w:rPr/>
        <w:t xml:space="preserve"> </w:t>
      </w:r>
      <w:r>
        <w:rPr>
          <w:rStyle w:val="FootnoteReference"/>
        </w:rPr>
        <w:footnoteReference w:id="901"/>
      </w:r>
      <w:r>
        <w:rPr/>
        <w:t xml:space="preserve"> is with me, to give every man according as </w:t>
      </w:r>
      <w:r>
        <w:rPr>
          <w:b w:val="1"/>
          <w:bCs w:val="1"/>
        </w:rPr>
        <w:t xml:space="preserve">his work shall be</w:t>
      </w:r>
      <w:r>
        <w:rPr/>
        <w:t xml:space="preserve"> </w:t>
      </w:r>
      <w:r>
        <w:rPr>
          <w:rStyle w:val="FootnoteReference"/>
        </w:rPr>
        <w:footnoteReference w:id="902"/>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903"/>
      </w:r>
      <w:r>
        <w:rPr/>
        <w:t xml:space="preserve">.</w:t>
      </w:r>
    </w:p>
    <w:p>
      <w:pPr>
        <w:spacing w:after="150"/>
      </w:pPr>
      <w:r>
        <w:rPr/>
        <w:t xml:space="preserve"/>
      </w:r>
    </w:p>
    <w:p>
      <w:pPr>
        <w:pStyle w:val="Heading3"/>
      </w:pPr>
      <w:bookmarkStart w:id="135" w:name="_Toc135"/>
      <w:r>
        <w:t>Wash Your Robes In The Blood of The Lamb</w:t>
      </w:r>
      <w:bookmarkEnd w:id="135"/>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904"/>
      </w:r>
      <w:r>
        <w:rPr/>
        <w:t xml:space="preserve"> are </w:t>
      </w:r>
      <w:r>
        <w:rPr>
          <w:b w:val="1"/>
          <w:bCs w:val="1"/>
        </w:rPr>
        <w:t xml:space="preserve">they who wash their robes</w:t>
      </w:r>
      <w:r>
        <w:rPr/>
        <w:t xml:space="preserve"> </w:t>
      </w:r>
      <w:r>
        <w:rPr>
          <w:rStyle w:val="FootnoteReference"/>
        </w:rPr>
        <w:footnoteReference w:id="905"/>
      </w:r>
      <w:r>
        <w:rPr/>
        <w:t xml:space="preserve">, that they may have right to the </w:t>
      </w:r>
      <w:r>
        <w:rPr>
          <w:b w:val="1"/>
          <w:bCs w:val="1"/>
        </w:rPr>
        <w:t xml:space="preserve">tree of life</w:t>
      </w:r>
      <w:r>
        <w:rPr/>
        <w:t xml:space="preserve"> </w:t>
      </w:r>
      <w:r>
        <w:rPr>
          <w:rStyle w:val="FootnoteReference"/>
        </w:rPr>
        <w:footnoteReference w:id="906"/>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907"/>
      </w:r>
      <w:r>
        <w:rPr/>
        <w:t xml:space="preserve"> </w:t>
      </w:r>
      <w:r>
        <w:rPr>
          <w:rStyle w:val="FootnoteReference"/>
        </w:rPr>
        <w:footnoteReference w:id="908"/>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909"/>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910"/>
      </w:r>
      <w:r>
        <w:rPr/>
        <w:t xml:space="preserve">, and the bright and </w:t>
      </w:r>
      <w:r>
        <w:rPr>
          <w:b w:val="1"/>
          <w:bCs w:val="1"/>
        </w:rPr>
        <w:t xml:space="preserve">morning star</w:t>
      </w:r>
      <w:r>
        <w:rPr/>
        <w:t xml:space="preserve"> </w:t>
      </w:r>
      <w:r>
        <w:rPr>
          <w:rStyle w:val="FootnoteReference"/>
        </w:rPr>
        <w:footnoteReference w:id="911"/>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912"/>
      </w:r>
      <w:r>
        <w:rPr/>
        <w:t xml:space="preserve"> come. And whosoever will, let him take the </w:t>
      </w:r>
      <w:r>
        <w:rPr>
          <w:b w:val="1"/>
          <w:bCs w:val="1"/>
        </w:rPr>
        <w:t xml:space="preserve">water of life</w:t>
      </w:r>
      <w:r>
        <w:rPr/>
        <w:t xml:space="preserve"> </w:t>
      </w:r>
      <w:r>
        <w:rPr>
          <w:rStyle w:val="FootnoteReference"/>
        </w:rPr>
        <w:footnoteReference w:id="913"/>
      </w:r>
      <w:r>
        <w:rPr/>
        <w:t xml:space="preserve"> freely.</w:t>
      </w:r>
    </w:p>
    <w:p>
      <w:pPr>
        <w:spacing w:after="150"/>
      </w:pPr>
      <w:r>
        <w:rPr/>
        <w:t xml:space="preserve"/>
      </w:r>
    </w:p>
    <w:p>
      <w:pPr>
        <w:pStyle w:val="Heading3"/>
      </w:pPr>
      <w:bookmarkStart w:id="136" w:name="_Toc136"/>
      <w:r>
        <w:t>The Integrity of the Prophetic Word</w:t>
      </w:r>
      <w:bookmarkEnd w:id="136"/>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914"/>
      </w:r>
      <w:r>
        <w:rPr/>
        <w:t xml:space="preserve">, God shall take away his part out of the </w:t>
      </w:r>
      <w:r>
        <w:rPr>
          <w:b w:val="1"/>
          <w:bCs w:val="1"/>
        </w:rPr>
        <w:t xml:space="preserve">tree of life</w:t>
      </w:r>
      <w:r>
        <w:rPr/>
        <w:t xml:space="preserve"> </w:t>
      </w:r>
      <w:r>
        <w:rPr>
          <w:rStyle w:val="FootnoteReference"/>
        </w:rPr>
        <w:footnoteReference w:id="915"/>
      </w:r>
      <w:r>
        <w:rPr/>
        <w:t xml:space="preserve">, and out of </w:t>
      </w:r>
      <w:r>
        <w:rPr>
          <w:b w:val="1"/>
          <w:bCs w:val="1"/>
        </w:rPr>
        <w:t xml:space="preserve">the holy city</w:t>
      </w:r>
      <w:r>
        <w:rPr/>
        <w:t xml:space="preserve"> </w:t>
      </w:r>
      <w:r>
        <w:rPr>
          <w:rStyle w:val="FootnoteReference"/>
        </w:rPr>
        <w:footnoteReference w:id="916"/>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7" w:name="_Toc137"/>
      <w:r>
        <w:t>I Come Quickly</w:t>
      </w:r>
      <w:bookmarkEnd w:id="137"/>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917"/>
      </w:r>
      <w:r>
        <w:rPr/>
        <w:t xml:space="preserve">. Amen. Even so, come, Lord Jesus.</w:t>
      </w:r>
    </w:p>
    <w:p>
      <w:pPr>
        <w:spacing w:after="150"/>
      </w:pPr>
      <w:r>
        <w:rPr/>
        <w:t xml:space="preserve"/>
      </w:r>
    </w:p>
    <w:p>
      <w:pPr>
        <w:pStyle w:val="Heading3"/>
      </w:pPr>
      <w:bookmarkStart w:id="138" w:name="_Toc138"/>
      <w:r>
        <w:t>John's Closing Remark</w:t>
      </w:r>
      <w:bookmarkEnd w:id="138"/>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2026 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r>
        <w:rPr>
          <w:sz w:val="18"/>
          <w:szCs w:val="18"/>
        </w:rPr>
        <w:t xml:space="preserve">, </w:t>
      </w:r>
      <w:r>
        <w:rPr>
          <w:sz w:val="18"/>
          <w:szCs w:val="18"/>
        </w:rPr>
        <w:t xml:space="preserve">[[Bible:Colossians 1:18]]</w:t>
      </w:r>
      <w:r>
        <w:rPr>
          <w:sz w:val="18"/>
          <w:szCs w:val="18"/>
        </w:rPr>
        <w:t xml:space="preserve">, </w:t>
      </w:r>
      <w:r>
        <w:rPr>
          <w:sz w:val="18"/>
          <w:szCs w:val="18"/>
        </w:rPr>
        <w:t xml:space="preserve">[[Bible:Colossians 1:15]]</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20:9]]</w:t>
      </w:r>
    </w:p>
  </w:footnote>
  <w:footnote w:id="16">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1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5:13]]</w:t>
      </w:r>
    </w:p>
  </w:footnote>
  <w:footnote w:id="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21">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22">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2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5">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2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7">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8">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9">
    <w:p>
      <w:r>
        <w:rPr>
          <w:rStyle w:val="FootnoteReference"/>
        </w:rPr>
        <w:footnoteRef/>
      </w:r>
      <w:r>
        <w:t xml:space="preserve"> </w:t>
      </w:r>
      <w:r>
        <w:rPr>
          <w:sz w:val="18"/>
          <w:szCs w:val="18"/>
        </w:rPr>
        <w:t xml:space="preserve">[[Bible:Re 2:1]]</w:t>
      </w:r>
      <w:r>
        <w:rPr>
          <w:sz w:val="18"/>
          <w:szCs w:val="18"/>
          <w:i w:val="1"/>
          <w:iCs w:val="1"/>
        </w:rPr>
        <w:t xml:space="preserve"> — Ephesus</w:t>
      </w:r>
    </w:p>
  </w:footnote>
  <w:footnote w:id="30">
    <w:p>
      <w:r>
        <w:rPr>
          <w:rStyle w:val="FootnoteReference"/>
        </w:rPr>
        <w:footnoteRef/>
      </w:r>
      <w:r>
        <w:t xml:space="preserve"> </w:t>
      </w:r>
      <w:r>
        <w:rPr>
          <w:sz w:val="18"/>
          <w:szCs w:val="18"/>
        </w:rPr>
        <w:t xml:space="preserve">[[Bible:Re 2:8]]</w:t>
      </w:r>
      <w:r>
        <w:rPr>
          <w:sz w:val="18"/>
          <w:szCs w:val="18"/>
          <w:i w:val="1"/>
          <w:iCs w:val="1"/>
        </w:rPr>
        <w:t xml:space="preserve"> — Smyrna</w:t>
      </w:r>
    </w:p>
  </w:footnote>
  <w:footnote w:id="31">
    <w:p>
      <w:r>
        <w:rPr>
          <w:rStyle w:val="FootnoteReference"/>
        </w:rPr>
        <w:footnoteRef/>
      </w:r>
      <w:r>
        <w:t xml:space="preserve"> </w:t>
      </w:r>
      <w:r>
        <w:rPr>
          <w:sz w:val="18"/>
          <w:szCs w:val="18"/>
        </w:rPr>
        <w:t xml:space="preserve">[[Bible:Re 2:12]]</w:t>
      </w:r>
      <w:r>
        <w:rPr>
          <w:sz w:val="18"/>
          <w:szCs w:val="18"/>
          <w:i w:val="1"/>
          <w:iCs w:val="1"/>
        </w:rPr>
        <w:t xml:space="preserve"> — Pergamum</w:t>
      </w:r>
    </w:p>
  </w:footnote>
  <w:footnote w:id="32">
    <w:p>
      <w:r>
        <w:rPr>
          <w:rStyle w:val="FootnoteReference"/>
        </w:rPr>
        <w:footnoteRef/>
      </w:r>
      <w:r>
        <w:t xml:space="preserve"> </w:t>
      </w:r>
      <w:r>
        <w:rPr>
          <w:sz w:val="18"/>
          <w:szCs w:val="18"/>
        </w:rPr>
        <w:t xml:space="preserve">[[Bible:Re 2:18]]</w:t>
      </w:r>
      <w:r>
        <w:rPr>
          <w:sz w:val="18"/>
          <w:szCs w:val="18"/>
          <w:i w:val="1"/>
          <w:iCs w:val="1"/>
        </w:rPr>
        <w:t xml:space="preserve"> — Thyatira</w:t>
      </w:r>
    </w:p>
  </w:footnote>
  <w:footnote w:id="33">
    <w:p>
      <w:r>
        <w:rPr>
          <w:rStyle w:val="FootnoteReference"/>
        </w:rPr>
        <w:footnoteRef/>
      </w:r>
      <w:r>
        <w:t xml:space="preserve"> </w:t>
      </w:r>
      <w:r>
        <w:rPr>
          <w:sz w:val="18"/>
          <w:szCs w:val="18"/>
        </w:rPr>
        <w:t xml:space="preserve">[[Bible:Re 3:1]]</w:t>
      </w:r>
      <w:r>
        <w:rPr>
          <w:sz w:val="18"/>
          <w:szCs w:val="18"/>
          <w:i w:val="1"/>
          <w:iCs w:val="1"/>
        </w:rPr>
        <w:t xml:space="preserve"> — Sardis</w:t>
      </w:r>
    </w:p>
  </w:footnote>
  <w:footnote w:id="34">
    <w:p>
      <w:r>
        <w:rPr>
          <w:rStyle w:val="FootnoteReference"/>
        </w:rPr>
        <w:footnoteRef/>
      </w:r>
      <w:r>
        <w:t xml:space="preserve"> </w:t>
      </w:r>
      <w:r>
        <w:rPr>
          <w:sz w:val="18"/>
          <w:szCs w:val="18"/>
        </w:rPr>
        <w:t xml:space="preserve">[[Bible:Re 3:7]]</w:t>
      </w:r>
      <w:r>
        <w:rPr>
          <w:sz w:val="18"/>
          <w:szCs w:val="18"/>
          <w:i w:val="1"/>
          <w:iCs w:val="1"/>
        </w:rPr>
        <w:t xml:space="preserve"> — Philadelphia</w:t>
      </w:r>
    </w:p>
  </w:footnote>
  <w:footnote w:id="35">
    <w:p>
      <w:r>
        <w:rPr>
          <w:rStyle w:val="FootnoteReference"/>
        </w:rPr>
        <w:footnoteRef/>
      </w:r>
      <w:r>
        <w:t xml:space="preserve"> </w:t>
      </w:r>
      <w:r>
        <w:rPr>
          <w:sz w:val="18"/>
          <w:szCs w:val="18"/>
        </w:rPr>
        <w:t xml:space="preserve">[[Bible:Re 3:14]]</w:t>
      </w:r>
      <w:r>
        <w:rPr>
          <w:sz w:val="18"/>
          <w:szCs w:val="18"/>
          <w:i w:val="1"/>
          <w:iCs w:val="1"/>
        </w:rPr>
        <w:t xml:space="preserve"> — Laodicea</w:t>
      </w:r>
    </w:p>
  </w:footnote>
  <w:footnote w:id="3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3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38">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39">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40">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41">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42">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4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4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4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4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0">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2:10]]</w:t>
      </w:r>
    </w:p>
  </w:footnote>
  <w:footnote w:id="51">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5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5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5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5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6">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57">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 is used four times. In Rev 1, the mystery is clearly the church. In Rev 10, the "mystery of God" that is "finished" is unclear: whether the "mystery" refers broadly or specifically. When we look at the uses of mystery in Rev 17, both instances refer to Mystery Babylon. In 3/4 uses of "mystery," it is either the church or Babylon. What is striking is that Mystery Babylon is directly contrasted with the image of New Jerusalem (17:3, 21:10). If there is meant to be a connection using the word μυστήριον, then it may be to reinforce the contrast of these two women. This may shed light on what Rev 10 describes as the mystery. The Mystery of God (that is, the one who is his) is the church (Ephesians 3:4-6). If this relation is true for Rev 10, then μυστήριον refers twice to the church and twice to Babylon.</w:t>
      </w:r>
    </w:p>
  </w:footnote>
  <w:footnote w:id="5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6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6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4">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6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6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8">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69">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7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71">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7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73">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7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75">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9">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81">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8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83">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84">
    <w:p>
      <w:r>
        <w:rPr>
          <w:rStyle w:val="FootnoteReference"/>
        </w:rPr>
        <w:footnoteRef/>
      </w:r>
      <w:r>
        <w:t xml:space="preserve"> </w:t>
      </w:r>
      <w:r>
        <w:rPr>
          <w:sz w:val="18"/>
          <w:szCs w:val="18"/>
        </w:rPr>
        <w:t xml:space="preserve">[[Bible:Re 2:9]]</w:t>
      </w:r>
      <w:r>
        <w:rPr>
          <w:sz w:val="18"/>
          <w:szCs w:val="18"/>
        </w:rPr>
        <w:t xml:space="preserve">, </w:t>
      </w:r>
      <w:r>
        <w:rPr>
          <w:sz w:val="18"/>
          <w:szCs w:val="18"/>
        </w:rPr>
        <w:t xml:space="preserve">[[Bible:2 Corinthians 8:9]]</w:t>
      </w:r>
    </w:p>
  </w:footnote>
  <w:footnote w:id="85">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8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2:10]]</w:t>
      </w:r>
    </w:p>
  </w:footnote>
  <w:footnote w:id="8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89">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9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9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9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95">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r>
        <w:rPr>
          <w:sz w:val="18"/>
          <w:szCs w:val="18"/>
        </w:rPr>
        <w:t xml:space="preserve">, </w:t>
      </w:r>
      <w:r>
        <w:rPr>
          <w:sz w:val="18"/>
          <w:szCs w:val="18"/>
        </w:rPr>
        <w:t xml:space="preserve">[[Bible:1 John 5:4-5]]</w:t>
      </w:r>
      <w:r>
        <w:rPr>
          <w:sz w:val="18"/>
          <w:szCs w:val="18"/>
          <w:i w:val="1"/>
          <w:iCs w:val="1"/>
        </w:rPr>
        <w:t xml:space="preserve"> — Faith in Jesus and his name are deeply linked. This is the one who has faith in the name of the Son of God and believes in his name.</w:t>
      </w:r>
    </w:p>
  </w:footnote>
  <w:footnote w:id="96">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10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1">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10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10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6">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10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10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110">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1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3">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14">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1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6">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8">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19">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2">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2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2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2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2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29">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3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3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33">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3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3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3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39">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40">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42">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43">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r>
        <w:rPr>
          <w:sz w:val="18"/>
          <w:szCs w:val="18"/>
        </w:rPr>
        <w:t xml:space="preserve">, </w:t>
      </w:r>
      <w:r>
        <w:rPr>
          <w:sz w:val="18"/>
          <w:szCs w:val="18"/>
        </w:rPr>
        <w:t xml:space="preserve">[[Bible:1 John 5:4-5]]</w:t>
      </w:r>
      <w:r>
        <w:rPr>
          <w:sz w:val="18"/>
          <w:szCs w:val="18"/>
          <w:i w:val="1"/>
          <w:iCs w:val="1"/>
        </w:rPr>
        <w:t xml:space="preserve"> — Faith in Jesus and his name are deeply linked. This is the one who has faith in the name of the Son of God and believes in his name.</w:t>
      </w:r>
    </w:p>
  </w:footnote>
  <w:footnote w:id="144">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4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6">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47">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48">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4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5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2">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53">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r>
        <w:rPr>
          <w:sz w:val="18"/>
          <w:szCs w:val="18"/>
        </w:rPr>
        <w:t xml:space="preserve">, </w:t>
      </w:r>
      <w:r>
        <w:rPr>
          <w:sz w:val="18"/>
          <w:szCs w:val="18"/>
        </w:rPr>
        <w:t xml:space="preserve">[[Bible:Colossians 1:18]]</w:t>
      </w:r>
      <w:r>
        <w:rPr>
          <w:sz w:val="18"/>
          <w:szCs w:val="18"/>
        </w:rPr>
        <w:t xml:space="preserve">, </w:t>
      </w:r>
      <w:r>
        <w:rPr>
          <w:sz w:val="18"/>
          <w:szCs w:val="18"/>
        </w:rPr>
        <w:t xml:space="preserve">[[Bible:Colossians 1:15]]</w:t>
      </w:r>
    </w:p>
  </w:footnote>
  <w:footnote w:id="15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61">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6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3">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6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6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6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6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6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69">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5:5]]</w:t>
      </w:r>
      <w:r>
        <w:rPr>
          <w:sz w:val="18"/>
          <w:szCs w:val="18"/>
        </w:rPr>
        <w:t xml:space="preserve">, </w:t>
      </w:r>
      <w:r>
        <w:rPr>
          <w:sz w:val="18"/>
          <w:szCs w:val="18"/>
        </w:rPr>
        <w:t xml:space="preserve">[[Bible:Re 17:14]]</w:t>
      </w:r>
      <w:r>
        <w:rPr>
          <w:sz w:val="18"/>
          <w:szCs w:val="18"/>
          <w:i w:val="1"/>
          <w:iCs w:val="1"/>
        </w:rPr>
        <w:t xml:space="preserve"> — Overcoming is a type of action Jesus demonstrates.</w:t>
      </w:r>
    </w:p>
  </w:footnote>
  <w:footnote w:id="170">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7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7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73">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74">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75">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76">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77">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7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80">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81">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can all be classified as judgment from the one who sits on the throne. Psalm 77:17-19 feels like an echo of this.</w:t>
      </w:r>
    </w:p>
  </w:footnote>
  <w:footnote w:id="182">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83">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8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8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6">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18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8">
    <w:p>
      <w:r>
        <w:rPr>
          <w:rStyle w:val="FootnoteReference"/>
        </w:rPr>
        <w:footnoteRef/>
      </w:r>
      <w:r>
        <w:t xml:space="preserve"> </w:t>
      </w:r>
      <w:r>
        <w:rPr>
          <w:sz w:val="18"/>
          <w:szCs w:val="18"/>
        </w:rPr>
        <w:t xml:space="preserve">[[Bible:Isaiah 6:3]]</w:t>
      </w:r>
    </w:p>
  </w:footnote>
  <w:footnote w:id="18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9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1">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92">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3">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9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95">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9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7">
    <w:p>
      <w:r>
        <w:rPr>
          <w:rStyle w:val="FootnoteReference"/>
        </w:rPr>
        <w:footnoteRef/>
      </w:r>
      <w:r>
        <w:t xml:space="preserve"> </w:t>
      </w:r>
      <w:r>
        <w:rPr>
          <w:sz w:val="18"/>
          <w:szCs w:val="18"/>
        </w:rPr>
        <w:t xml:space="preserve">[[Bible:Re 5:1-9]]</w:t>
      </w:r>
    </w:p>
  </w:footnote>
  <w:footnote w:id="198">
    <w:p>
      <w:r>
        <w:rPr>
          <w:rStyle w:val="FootnoteReference"/>
        </w:rPr>
        <w:footnoteRef/>
      </w:r>
      <w:r>
        <w:t xml:space="preserve"> </w:t>
      </w:r>
      <w:r>
        <w:rPr>
          <w:sz w:val="18"/>
          <w:szCs w:val="18"/>
        </w:rPr>
        <w:t xml:space="preserve">[[Bible:Daniel 12:4]]</w:t>
      </w:r>
    </w:p>
  </w:footnote>
  <w:footnote w:id="199">
    <w:p>
      <w:r>
        <w:rPr>
          <w:rStyle w:val="FootnoteReference"/>
        </w:rPr>
        <w:footnoteRef/>
      </w:r>
      <w:r>
        <w:t xml:space="preserve"> </w:t>
      </w:r>
      <w:r>
        <w:rPr>
          <w:sz w:val="18"/>
          <w:szCs w:val="18"/>
        </w:rPr>
        <w:t xml:space="preserve">[[Bible:Re 5:1-9]]</w:t>
      </w:r>
    </w:p>
  </w:footnote>
  <w:footnote w:id="200">
    <w:p>
      <w:r>
        <w:rPr>
          <w:rStyle w:val="FootnoteReference"/>
        </w:rPr>
        <w:footnoteRef/>
      </w:r>
      <w:r>
        <w:t xml:space="preserve"> </w:t>
      </w:r>
      <w:r>
        <w:rPr>
          <w:sz w:val="18"/>
          <w:szCs w:val="18"/>
        </w:rPr>
        <w:t xml:space="preserve">[[Bible:Re 5:1-9]]</w:t>
      </w:r>
    </w:p>
  </w:footnote>
  <w:footnote w:id="201">
    <w:p>
      <w:r>
        <w:rPr>
          <w:rStyle w:val="FootnoteReference"/>
        </w:rPr>
        <w:footnoteRef/>
      </w:r>
      <w:r>
        <w:t xml:space="preserve"> </w:t>
      </w:r>
      <w:r>
        <w:rPr>
          <w:sz w:val="18"/>
          <w:szCs w:val="18"/>
        </w:rPr>
        <w:t xml:space="preserve">[[Bible:Re 5:1-9]]</w:t>
      </w:r>
    </w:p>
  </w:footnote>
  <w:footnote w:id="202">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20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204">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205">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5:5]]</w:t>
      </w:r>
      <w:r>
        <w:rPr>
          <w:sz w:val="18"/>
          <w:szCs w:val="18"/>
        </w:rPr>
        <w:t xml:space="preserve">, </w:t>
      </w:r>
      <w:r>
        <w:rPr>
          <w:sz w:val="18"/>
          <w:szCs w:val="18"/>
        </w:rPr>
        <w:t xml:space="preserve">[[Bible:Re 17:14]]</w:t>
      </w:r>
      <w:r>
        <w:rPr>
          <w:sz w:val="18"/>
          <w:szCs w:val="18"/>
          <w:i w:val="1"/>
          <w:iCs w:val="1"/>
        </w:rPr>
        <w:t xml:space="preserve"> — Overcoming is a type of action Jesus demonstrates.</w:t>
      </w:r>
    </w:p>
  </w:footnote>
  <w:footnote w:id="206">
    <w:p>
      <w:r>
        <w:rPr>
          <w:rStyle w:val="FootnoteReference"/>
        </w:rPr>
        <w:footnoteRef/>
      </w:r>
      <w:r>
        <w:t xml:space="preserve"> </w:t>
      </w:r>
      <w:r>
        <w:rPr>
          <w:sz w:val="18"/>
          <w:szCs w:val="18"/>
        </w:rPr>
        <w:t xml:space="preserve">[[Bible:Re 5:1-9]]</w:t>
      </w:r>
    </w:p>
  </w:footnote>
  <w:footnote w:id="20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0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9">
    <w:p>
      <w:r>
        <w:rPr>
          <w:rStyle w:val="FootnoteReference"/>
        </w:rPr>
        <w:footnoteRef/>
      </w:r>
      <w:r>
        <w:t xml:space="preserve"> </w:t>
      </w:r>
      <w:r>
        <w:rPr>
          <w:sz w:val="18"/>
          <w:szCs w:val="18"/>
        </w:rPr>
        <w:t xml:space="preserve">[[Bible:Re 5:6]]</w:t>
      </w:r>
      <w:r>
        <w:rPr>
          <w:sz w:val="18"/>
          <w:szCs w:val="18"/>
        </w:rPr>
        <w:t xml:space="preserve">, </w:t>
      </w:r>
      <w:r>
        <w:rPr>
          <w:sz w:val="18"/>
          <w:szCs w:val="18"/>
        </w:rPr>
        <w:t xml:space="preserve">[[Bible:Re 7:17]]</w:t>
      </w:r>
    </w:p>
  </w:footnote>
  <w:footnote w:id="210">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1">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21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213">
    <w:p>
      <w:r>
        <w:rPr>
          <w:rStyle w:val="FootnoteReference"/>
        </w:rPr>
        <w:footnoteRef/>
      </w:r>
      <w:r>
        <w:t xml:space="preserve"> </w:t>
      </w:r>
      <w:r>
        <w:rPr>
          <w:sz w:val="18"/>
          <w:szCs w:val="18"/>
        </w:rPr>
        <w:t xml:space="preserve">[[Bible:Re 5:1-9]]</w:t>
      </w:r>
    </w:p>
  </w:footnote>
  <w:footnote w:id="21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217">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218">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219">
    <w:p>
      <w:r>
        <w:rPr>
          <w:rStyle w:val="FootnoteReference"/>
        </w:rPr>
        <w:footnoteRef/>
      </w:r>
      <w:r>
        <w:t xml:space="preserve"> </w:t>
      </w:r>
      <w:r>
        <w:rPr>
          <w:sz w:val="18"/>
          <w:szCs w:val="18"/>
        </w:rPr>
        <w:t xml:space="preserve">[[Bible:Re 5:1-9]]</w:t>
      </w:r>
    </w:p>
  </w:footnote>
  <w:footnote w:id="220">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21">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2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23">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24">
    <w:p>
      <w:r>
        <w:rPr>
          <w:rStyle w:val="FootnoteReference"/>
        </w:rPr>
        <w:footnoteRef/>
      </w:r>
      <w:r>
        <w:t xml:space="preserve"> </w:t>
      </w:r>
      <w:r>
        <w:rPr>
          <w:sz w:val="18"/>
          <w:szCs w:val="18"/>
          <w:i w:val="1"/>
          <w:iCs w:val="1"/>
        </w:rPr>
        <w:t xml:space="preserve">(im) In both Revelation 5:9 and 7:9, the redeemed from every nation are mentioned before the sevenfold praise is heard around the throne. The multitude in Revelation 7:9 is explicitly innumerable, which distinguishes it from the numbered 144,000. In Revelation 19:1–6, it is not immediately clear whether the “great multitude” is itself the wife of the Lamb, since the group speaks of her in the third person. However, the group may still be connected to the wife because Revelation 19 echoes the multitude scene of Revelation 7. The wording of a song or heavenly chorus should also be handled carefully; Revelation 5:9 provides a useful example, since some manuscripts, including Sinaiticus, include “us” in the new song, while other important witnesses omit it. This shows that the pronouns within a song do not always settle the identity of every singer as directly as ordinary narrative dialogue might. 
However, that same group in 19:1 also says in 19:2 "... and has avenged the blood of his servants," which would make the group refer to itself in the third person, making the dialogue coming from the servants unusual. But John does the same in 1:1 when he says of himself, "to His bond-servant John". Meaning, a person (or persons) can refer to themself by an identity such as being a servant. In that sense, the phrase "... and has avenged the blood of his servants," confirms who the multitude is in 19:1; they are the servants. </w:t>
      </w:r>
      <w:r>
        <w:rPr>
          <w:sz w:val="18"/>
          <w:szCs w:val="18"/>
        </w:rPr>
        <w:t xml:space="preserve">See also: </w:t>
      </w:r>
      <w:r>
        <w:rPr>
          <w:sz w:val="18"/>
          <w:szCs w:val="18"/>
        </w:rPr>
        <w:t xml:space="preserve">[[Bible:Re 7:9]]</w:t>
      </w:r>
      <w:r>
        <w:rPr>
          <w:sz w:val="18"/>
          <w:szCs w:val="18"/>
        </w:rPr>
        <w:t xml:space="preserve">, </w:t>
      </w:r>
      <w:r>
        <w:rPr>
          <w:sz w:val="18"/>
          <w:szCs w:val="18"/>
        </w:rPr>
        <w:t xml:space="preserve">[[Bible:Re 19:1]]</w:t>
      </w:r>
      <w:r>
        <w:rPr>
          <w:sz w:val="18"/>
          <w:szCs w:val="18"/>
        </w:rPr>
        <w:t xml:space="preserve">, </w:t>
      </w:r>
      <w:r>
        <w:rPr>
          <w:sz w:val="18"/>
          <w:szCs w:val="18"/>
        </w:rPr>
        <w:t xml:space="preserve">[[Bible:Re 19:6]]</w:t>
      </w:r>
    </w:p>
  </w:footnote>
  <w:footnote w:id="22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26">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227">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2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29">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30">
    <w:p>
      <w:r>
        <w:rPr>
          <w:rStyle w:val="FootnoteReference"/>
        </w:rPr>
        <w:footnoteRef/>
      </w:r>
      <w:r>
        <w:t xml:space="preserve"> </w:t>
      </w:r>
      <w:r>
        <w:rPr>
          <w:sz w:val="18"/>
          <w:szCs w:val="18"/>
        </w:rPr>
        <w:t xml:space="preserve">[[Bible:Daniel 7:9-10]]</w:t>
      </w:r>
    </w:p>
  </w:footnote>
  <w:footnote w:id="23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32">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33">
    <w:p>
      <w:r>
        <w:rPr>
          <w:rStyle w:val="FootnoteReference"/>
        </w:rPr>
        <w:footnoteRef/>
      </w:r>
      <w:r>
        <w:t xml:space="preserve"> </w:t>
      </w:r>
      <w:r>
        <w:rPr>
          <w:sz w:val="18"/>
          <w:szCs w:val="18"/>
        </w:rPr>
        <w:t xml:space="preserve">[[Bible:Re 5:12]]</w:t>
      </w:r>
      <w:r>
        <w:rPr>
          <w:sz w:val="18"/>
          <w:szCs w:val="18"/>
        </w:rPr>
        <w:t xml:space="preserve">, </w:t>
      </w:r>
      <w:r>
        <w:rPr>
          <w:sz w:val="18"/>
          <w:szCs w:val="18"/>
        </w:rPr>
        <w:t xml:space="preserve">[[Bible:Re 7:12]]</w:t>
      </w:r>
      <w:r>
        <w:rPr>
          <w:sz w:val="18"/>
          <w:szCs w:val="18"/>
          <w:i w:val="1"/>
          <w:iCs w:val="1"/>
        </w:rPr>
        <w:t xml:space="preserve"> — ἰσχύς (strength) is only used twice in Revelation.</w:t>
      </w:r>
    </w:p>
  </w:footnote>
  <w:footnote w:id="234">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35">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36">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3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5:13]]</w:t>
      </w:r>
    </w:p>
  </w:footnote>
  <w:footnote w:id="23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39">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4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4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43">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are connected to the four horsemen. The four winds are possibly an unseen force that sweeps over the whole earth. The four horsemen and the four winds are not equivalent but are connected through cause and effect.</w:t>
      </w:r>
    </w:p>
  </w:footnote>
  <w:footnote w:id="245">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6">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9">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5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51">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52">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5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54">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55">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56">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257">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r>
        <w:rPr>
          <w:sz w:val="18"/>
          <w:szCs w:val="18"/>
        </w:rPr>
        <w:t xml:space="preserve">, </w:t>
      </w:r>
      <w:r>
        <w:rPr>
          <w:sz w:val="18"/>
          <w:szCs w:val="18"/>
        </w:rPr>
        <w:t xml:space="preserve">[[Bible:Re 11:18]]</w:t>
      </w:r>
    </w:p>
  </w:footnote>
  <w:footnote w:id="258">
    <w:p>
      <w:r>
        <w:rPr>
          <w:rStyle w:val="FootnoteReference"/>
        </w:rPr>
        <w:footnoteRef/>
      </w:r>
      <w:r>
        <w:t xml:space="preserve"> </w:t>
      </w:r>
      <w:r>
        <w:rPr>
          <w:sz w:val="18"/>
          <w:szCs w:val="18"/>
        </w:rPr>
        <w:t xml:space="preserve">[[Bible:Re 6:10]]</w:t>
      </w:r>
      <w:r>
        <w:rPr>
          <w:sz w:val="18"/>
          <w:szCs w:val="18"/>
        </w:rPr>
        <w:t xml:space="preserve">, </w:t>
      </w:r>
      <w:r>
        <w:rPr>
          <w:sz w:val="18"/>
          <w:szCs w:val="18"/>
        </w:rPr>
        <w:t xml:space="preserve">[[Bible:Re 11:18]]</w:t>
      </w:r>
    </w:p>
  </w:footnote>
  <w:footnote w:id="25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60">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61">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62">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63">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64">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65">
    <w:p>
      <w:r>
        <w:rPr>
          <w:rStyle w:val="FootnoteReference"/>
        </w:rPr>
        <w:footnoteRef/>
      </w:r>
      <w:r>
        <w:t xml:space="preserve"> </w:t>
      </w:r>
      <w:r>
        <w:rPr>
          <w:sz w:val="18"/>
          <w:szCs w:val="18"/>
        </w:rPr>
        <w:t xml:space="preserve">[[Bible:Joel 2:31]]</w:t>
      </w:r>
      <w:r>
        <w:rPr>
          <w:sz w:val="18"/>
          <w:szCs w:val="18"/>
        </w:rPr>
        <w:t xml:space="preserve">, </w:t>
      </w:r>
      <w:r>
        <w:rPr>
          <w:sz w:val="18"/>
          <w:szCs w:val="18"/>
        </w:rPr>
        <w:t xml:space="preserve">[[Bible:Matthew 24:29]]</w:t>
      </w:r>
      <w:r>
        <w:rPr>
          <w:sz w:val="18"/>
          <w:szCs w:val="18"/>
          <w:i w:val="1"/>
          <w:iCs w:val="1"/>
        </w:rPr>
        <w:t xml:space="preserve"> — We do not need to expect Matthew 24:29 to take place, and then, seconds, minutes, or hours later, for people to "see the Son of Man coming on the clouds of heaven." When Jesus speaks in Matthew 24, he describes a series of events to come, but he does not specify the timeframe between them. The time between them can be short, or it could be long. We are not told timeline details in Matthew 24 like we are in Revelation. The book of Revelation appears to place at least 5 months (Rev 9:4-5) between the 6th seal (when the sun became black) and the 7th trumpet, when Jesus appears to come to reap in the clouds (Rev 11:12, 14:16, 15:1-4). This means the timespace of the events in Matthew 24:29-31 is very likely 5 months or as long as 3.5 years. But we cannot know the exact duration of time within that frame because Revelation implies that the time of the reaping is a "time, time, and a half a time" — that is to say, an unknown time.</w:t>
      </w:r>
    </w:p>
  </w:footnote>
  <w:footnote w:id="26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267">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68">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69">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270">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7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72">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73">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74">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75">
    <w:p>
      <w:r>
        <w:rPr>
          <w:rStyle w:val="FootnoteReference"/>
        </w:rPr>
        <w:footnoteRef/>
      </w:r>
      <w:r>
        <w:t xml:space="preserve"> </w:t>
      </w:r>
      <w:r>
        <w:rPr>
          <w:sz w:val="18"/>
          <w:szCs w:val="18"/>
        </w:rPr>
        <w:t xml:space="preserve">[[Bible:Ezekiel 9]]</w:t>
      </w:r>
    </w:p>
  </w:footnote>
  <w:footnote w:id="276">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7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are connected to the four horsemen. The four winds are possibly an unseen force that sweeps over the whole earth. The four horsemen and the four winds are not equivalent but are connected through cause and effect.</w:t>
      </w:r>
    </w:p>
  </w:footnote>
  <w:footnote w:id="278">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rPr>
        <w:t xml:space="preserve">, </w:t>
      </w:r>
      <w:r>
        <w:rPr>
          <w:sz w:val="18"/>
          <w:szCs w:val="18"/>
        </w:rPr>
        <w:t xml:space="preserve">[[Bible:Deuteronomy 6:4-9]]</w:t>
      </w:r>
    </w:p>
  </w:footnote>
  <w:footnote w:id="279">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80">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81">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82">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83">
    <w:p>
      <w:r>
        <w:rPr>
          <w:rStyle w:val="FootnoteReference"/>
        </w:rPr>
        <w:footnoteRef/>
      </w:r>
      <w:r>
        <w:t xml:space="preserve"> </w:t>
      </w:r>
      <w:r>
        <w:rPr>
          <w:sz w:val="18"/>
          <w:szCs w:val="18"/>
          <w:i w:val="1"/>
          <w:iCs w:val="1"/>
        </w:rPr>
        <w:t xml:space="preserve">(im) In both Revelation 5:9 and 7:9, the redeemed from every nation are mentioned before the sevenfold praise is heard around the throne. The multitude in Revelation 7:9 is explicitly innumerable, which distinguishes it from the numbered 144,000. In Revelation 19:1–6, it is not immediately clear whether the “great multitude” is itself the wife of the Lamb, since the group speaks of her in the third person. However, the group may still be connected to the wife because Revelation 19 echoes the multitude scene of Revelation 7. The wording of a song or heavenly chorus should also be handled carefully; Revelation 5:9 provides a useful example, since some manuscripts, including Sinaiticus, include “us” in the new song, while other important witnesses omit it. This shows that the pronouns within a song do not always settle the identity of every singer as directly as ordinary narrative dialogue might. 
However, that same group in 19:1 also says in 19:2 "... and has avenged the blood of his servants," which would make the group refer to itself in the third person, making the dialogue coming from the servants unusual. But John does the same in 1:1 when he says of himself, "to His bond-servant John". Meaning, a person (or persons) can refer to themself by an identity such as being a servant. In that sense, the phrase "... and has avenged the blood of his servants," confirms who the multitude is in 19:1; they are the servants. </w:t>
      </w:r>
      <w:r>
        <w:rPr>
          <w:sz w:val="18"/>
          <w:szCs w:val="18"/>
        </w:rPr>
        <w:t xml:space="preserve">See also: </w:t>
      </w:r>
      <w:r>
        <w:rPr>
          <w:sz w:val="18"/>
          <w:szCs w:val="18"/>
        </w:rPr>
        <w:t xml:space="preserve">[[Bible:Re 5:9]]</w:t>
      </w:r>
      <w:r>
        <w:rPr>
          <w:sz w:val="18"/>
          <w:szCs w:val="18"/>
        </w:rPr>
        <w:t xml:space="preserve">, </w:t>
      </w:r>
      <w:r>
        <w:rPr>
          <w:sz w:val="18"/>
          <w:szCs w:val="18"/>
        </w:rPr>
        <w:t xml:space="preserve">[[Bible:Re 19:1]]</w:t>
      </w:r>
      <w:r>
        <w:rPr>
          <w:sz w:val="18"/>
          <w:szCs w:val="18"/>
        </w:rPr>
        <w:t xml:space="preserve">, </w:t>
      </w:r>
      <w:r>
        <w:rPr>
          <w:sz w:val="18"/>
          <w:szCs w:val="18"/>
        </w:rPr>
        <w:t xml:space="preserve">[[Bible:Re 19:6]]</w:t>
      </w:r>
    </w:p>
  </w:footnote>
  <w:footnote w:id="284">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8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86">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87">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88">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89">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9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9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92">
    <w:p>
      <w:r>
        <w:rPr>
          <w:rStyle w:val="FootnoteReference"/>
        </w:rPr>
        <w:footnoteRef/>
      </w:r>
      <w:r>
        <w:t xml:space="preserve"> </w:t>
      </w:r>
      <w:r>
        <w:rPr>
          <w:sz w:val="18"/>
          <w:szCs w:val="18"/>
        </w:rPr>
        <w:t xml:space="preserve">[[Bible:Re 7:11]]</w:t>
      </w:r>
      <w:r>
        <w:rPr>
          <w:sz w:val="18"/>
          <w:szCs w:val="18"/>
        </w:rPr>
        <w:t xml:space="preserve">, </w:t>
      </w:r>
      <w:r>
        <w:rPr>
          <w:sz w:val="18"/>
          <w:szCs w:val="18"/>
        </w:rPr>
        <w:t xml:space="preserve">[[Bible:Re 11:16]]</w:t>
      </w:r>
      <w:r>
        <w:rPr>
          <w:sz w:val="18"/>
          <w:szCs w:val="18"/>
          <w:i w:val="1"/>
          <w:iCs w:val="1"/>
        </w:rPr>
        <w:t xml:space="preserve"> — In Revelation 7:11, the ones who fall on their faces are grammatically “all the messengers”: πάντες οἱ ἄγγελοι … καὶ ἔπεσαν … καὶ προσεκύνησαν (“all the messengers … and they fell … and worshiped”). The elders and the four living creatures are in the genitive case, τῶν πρεσβυτέρων καὶ τῶν τεσσάρων ζῴων, because they belong to the phrase κύκλῳ τοῦ θρόνου καὶ τῶν πρεσβυτέρων καὶ τῶν τεσσάρων ζῴων — “around the throne and around the elders and the four living creatures.” They are not the grammatical subject of ἔπεσαν in this verse. This differs from Revelation 11:16, where οἱ εἴκοσι τέσσαρες πρεσβύτεροι — “the twenty-four elders” — are the nominative subject, and the text explicitly says ἔπεσαν ἐπὶ τὰ πρόσωπα αὐτῶν καὶ προσεκύνησαν τῷ θεῷ, “they fell on their faces and worshiped God.” Thus, a similar action appears in both passages, but the grammatical subject differs: in 7:11, it is the messengers; in 11:16, it is the elders.</w:t>
      </w:r>
    </w:p>
  </w:footnote>
  <w:footnote w:id="293">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94">
    <w:p>
      <w:r>
        <w:rPr>
          <w:rStyle w:val="FootnoteReference"/>
        </w:rPr>
        <w:footnoteRef/>
      </w:r>
      <w:r>
        <w:t xml:space="preserve"> </w:t>
      </w:r>
      <w:r>
        <w:rPr>
          <w:sz w:val="18"/>
          <w:szCs w:val="18"/>
        </w:rPr>
        <w:t xml:space="preserve">[[Bible:Re 5:12]]</w:t>
      </w:r>
      <w:r>
        <w:rPr>
          <w:sz w:val="18"/>
          <w:szCs w:val="18"/>
        </w:rPr>
        <w:t xml:space="preserve">, </w:t>
      </w:r>
      <w:r>
        <w:rPr>
          <w:sz w:val="18"/>
          <w:szCs w:val="18"/>
        </w:rPr>
        <w:t xml:space="preserve">[[Bible:Re 7:12]]</w:t>
      </w:r>
      <w:r>
        <w:rPr>
          <w:sz w:val="18"/>
          <w:szCs w:val="18"/>
          <w:i w:val="1"/>
          <w:iCs w:val="1"/>
        </w:rPr>
        <w:t xml:space="preserve"> — ἰσχύς (strength) is only used twice in Revelation.</w:t>
      </w:r>
    </w:p>
  </w:footnote>
  <w:footnote w:id="295">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9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97">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98">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99">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300">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301">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302">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30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04">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305">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306">
    <w:p>
      <w:r>
        <w:rPr>
          <w:rStyle w:val="FootnoteReference"/>
        </w:rPr>
        <w:footnoteRef/>
      </w:r>
      <w:r>
        <w:t xml:space="preserve"> </w:t>
      </w:r>
      <w:r>
        <w:rPr>
          <w:sz w:val="18"/>
          <w:szCs w:val="18"/>
        </w:rPr>
        <w:t xml:space="preserve">[[Bible:Re 5:6]]</w:t>
      </w:r>
      <w:r>
        <w:rPr>
          <w:sz w:val="18"/>
          <w:szCs w:val="18"/>
        </w:rPr>
        <w:t xml:space="preserve">, </w:t>
      </w:r>
      <w:r>
        <w:rPr>
          <w:sz w:val="18"/>
          <w:szCs w:val="18"/>
        </w:rPr>
        <w:t xml:space="preserve">[[Bible:Re 7:17]]</w:t>
      </w:r>
      <w:r>
        <w:rPr>
          <w:sz w:val="18"/>
          <w:szCs w:val="18"/>
          <w:i w:val="1"/>
          <w:iCs w:val="1"/>
        </w:rPr>
        <w:t xml:space="preserve"> — The Lamb is described in Revelation 7:17 as being “in the center of the throne.” This recalls Revelation 5:6, the only earlier place where the Lamb is specifically located in the midst of the throne, where John sees “a Lamb standing, as if slain,” “in the midst of the throne.” The Greek wording is not identical—Revelation 5:6 uses ἐν μέσῳ τοῦ θρόνου, while Revelation 7:17 uses ἀνὰ μέσον τοῦ θρόνου—but both expressions use forms built on μέσος, meaning “middle” or “midst,” and both place the Lamb in the same central throne-region. This is significant because these are the only two places in Revelation where the Lamb is described as being in the midst or center of the throne. The connection is also strengthened by the immediate context, since Revelation 7:14 has just spoken of those who “washed their robes and made them white in the blood of the Lamb.” Thus, Revelation 7:17 may be drawing the reader back to the heavenly throne scene in Revelation 5:6, where the Lamb is seen not merely as enthroned, but as the slain Lamb.</w:t>
      </w:r>
    </w:p>
  </w:footnote>
  <w:footnote w:id="307">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308">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309">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310">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31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12">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31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14">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 Psalm 77:17-19 feels like an echo of this.</w:t>
      </w:r>
    </w:p>
  </w:footnote>
  <w:footnote w:id="315">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316">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17">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31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319">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320">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321">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322">
    <w:p>
      <w:r>
        <w:rPr>
          <w:rStyle w:val="FootnoteReference"/>
        </w:rPr>
        <w:footnoteRef/>
      </w:r>
      <w:r>
        <w:t xml:space="preserve"> </w:t>
      </w:r>
      <w:r>
        <w:rPr>
          <w:sz w:val="18"/>
          <w:szCs w:val="18"/>
        </w:rPr>
        <w:t xml:space="preserve">[[Bible:Re 8:11]]</w:t>
      </w:r>
    </w:p>
  </w:footnote>
  <w:footnote w:id="323">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324">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325">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326">
    <w:p>
      <w:r>
        <w:rPr>
          <w:rStyle w:val="FootnoteReference"/>
        </w:rPr>
        <w:footnoteRef/>
      </w:r>
      <w:r>
        <w:t xml:space="preserve"> </w:t>
      </w:r>
      <w:r>
        <w:rPr>
          <w:sz w:val="18"/>
          <w:szCs w:val="18"/>
        </w:rPr>
        <w:t xml:space="preserve">[[Bible:Re 9:1-12]]</w:t>
      </w:r>
    </w:p>
  </w:footnote>
  <w:footnote w:id="327">
    <w:p>
      <w:r>
        <w:rPr>
          <w:rStyle w:val="FootnoteReference"/>
        </w:rPr>
        <w:footnoteRef/>
      </w:r>
      <w:r>
        <w:t xml:space="preserve"> </w:t>
      </w:r>
      <w:r>
        <w:rPr>
          <w:sz w:val="18"/>
          <w:szCs w:val="18"/>
        </w:rPr>
        <w:t xml:space="preserve">[[Bible:Re 9:13-21]]</w:t>
      </w:r>
    </w:p>
  </w:footnote>
  <w:footnote w:id="328">
    <w:p>
      <w:r>
        <w:rPr>
          <w:rStyle w:val="FootnoteReference"/>
        </w:rPr>
        <w:footnoteRef/>
      </w:r>
      <w:r>
        <w:t xml:space="preserve"> </w:t>
      </w:r>
      <w:r>
        <w:rPr>
          <w:sz w:val="18"/>
          <w:szCs w:val="18"/>
        </w:rPr>
        <w:t xml:space="preserve">[[Bible:Re 11:14-19]]</w:t>
      </w:r>
    </w:p>
  </w:footnote>
  <w:footnote w:id="32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3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3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3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33">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34">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35">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36">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37">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38">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3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40">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41">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42">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43">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44">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45">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4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347">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348">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49">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50">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5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52">
    <w:p>
      <w:r>
        <w:rPr>
          <w:rStyle w:val="FootnoteReference"/>
        </w:rPr>
        <w:footnoteRef/>
      </w:r>
      <w:r>
        <w:t xml:space="preserve"> </w:t>
      </w:r>
      <w:r>
        <w:rPr>
          <w:sz w:val="18"/>
          <w:szCs w:val="18"/>
        </w:rPr>
        <w:t xml:space="preserve">[[Bible:Daniel 10:6]]</w:t>
      </w:r>
    </w:p>
  </w:footnote>
  <w:footnote w:id="353">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54">
    <w:p>
      <w:r>
        <w:rPr>
          <w:rStyle w:val="FootnoteReference"/>
        </w:rPr>
        <w:footnoteRef/>
      </w:r>
      <w:r>
        <w:t xml:space="preserve"> </w:t>
      </w:r>
      <w:r>
        <w:rPr>
          <w:sz w:val="18"/>
          <w:szCs w:val="18"/>
        </w:rPr>
        <w:t xml:space="preserve">[[Bible:Daniel 10:6]]</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6">
    <w:p>
      <w:r>
        <w:rPr>
          <w:rStyle w:val="FootnoteReference"/>
        </w:rPr>
        <w:footnoteRef/>
      </w:r>
      <w:r>
        <w:t xml:space="preserve"> </w:t>
      </w:r>
      <w:r>
        <w:rPr>
          <w:sz w:val="18"/>
          <w:szCs w:val="18"/>
        </w:rPr>
        <w:t xml:space="preserve">[[Bible:Ezekiel 1:28-2:10]]</w:t>
      </w:r>
    </w:p>
  </w:footnote>
  <w:footnote w:id="357">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58">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59">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6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61">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62">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63">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64">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65">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66">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67">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68">
    <w:p>
      <w:r>
        <w:rPr>
          <w:rStyle w:val="FootnoteReference"/>
        </w:rPr>
        <w:footnoteRef/>
      </w:r>
      <w:r>
        <w:t xml:space="preserve"> </w:t>
      </w:r>
      <w:r>
        <w:rPr>
          <w:sz w:val="18"/>
          <w:szCs w:val="18"/>
        </w:rPr>
        <w:t xml:space="preserve">[[Bible:Daniel 12:7]]</w:t>
      </w:r>
    </w:p>
  </w:footnote>
  <w:footnote w:id="36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70">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71">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72">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73">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74">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7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76">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77">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r>
        <w:rPr>
          <w:sz w:val="18"/>
          <w:szCs w:val="18"/>
        </w:rPr>
        <w:t xml:space="preserve">, </w:t>
      </w:r>
      <w:r>
        <w:rPr>
          <w:sz w:val="18"/>
          <w:szCs w:val="18"/>
        </w:rPr>
        <w:t xml:space="preserve">[[Bible:Re 11:18]]</w:t>
      </w:r>
    </w:p>
  </w:footnote>
  <w:footnote w:id="378">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79">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80">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 is used four times. In Rev 1, the mystery is clearly the church. In Rev 10, the "mystery of God" that is "finished" is unclear: whether the "mystery" refers broadly or specifically. When we look at the uses of mystery in Rev 17, both instances refer to Mystery Babylon. In 3/4 uses of "mystery," it is either the church or Babylon. What is striking is that Mystery Babylon is directly contrasted with the image of New Jerusalem (17:3, 21:10). If there is meant to be a connection using the word μυστήριον, then it may be to reinforce the contrast of these two women. This may shed light on what Rev 10 describes as the mystery. The Mystery of God (that is, the one who is his) is the church (Ephesians 3:4-6). If this relation is true for Rev 10, then μυστήριον refers twice to the church and twice to Babylon.</w:t>
      </w:r>
    </w:p>
  </w:footnote>
  <w:footnote w:id="38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82">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83">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8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85">
    <w:p>
      <w:r>
        <w:rPr>
          <w:rStyle w:val="FootnoteReference"/>
        </w:rPr>
        <w:footnoteRef/>
      </w:r>
      <w:r>
        <w:t xml:space="preserve"> </w:t>
      </w:r>
      <w:r>
        <w:rPr>
          <w:sz w:val="18"/>
          <w:szCs w:val="18"/>
        </w:rPr>
        <w:t xml:space="preserve">[[Bible:Ezekiel 3:1]]</w:t>
      </w:r>
    </w:p>
  </w:footnote>
  <w:footnote w:id="386">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8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88">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8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90">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91">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92">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93">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94">
    <w:p>
      <w:r>
        <w:rPr>
          <w:rStyle w:val="FootnoteReference"/>
        </w:rPr>
        <w:footnoteRef/>
      </w:r>
      <w:r>
        <w:t xml:space="preserve"> </w:t>
      </w:r>
      <w:r>
        <w:rPr>
          <w:sz w:val="18"/>
          <w:szCs w:val="18"/>
        </w:rPr>
        <w:t xml:space="preserve">[[Bible:Zechariah 4:2-3]]</w:t>
      </w:r>
    </w:p>
  </w:footnote>
  <w:footnote w:id="395">
    <w:p>
      <w:r>
        <w:rPr>
          <w:rStyle w:val="FootnoteReference"/>
        </w:rPr>
        <w:footnoteRef/>
      </w:r>
      <w:r>
        <w:t xml:space="preserve"> </w:t>
      </w:r>
      <w:r>
        <w:rPr>
          <w:sz w:val="18"/>
          <w:szCs w:val="18"/>
        </w:rPr>
        <w:t xml:space="preserve">[[Bible:Jeremiah 5:14]]</w:t>
      </w:r>
    </w:p>
  </w:footnote>
  <w:footnote w:id="396">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39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9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9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40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40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40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40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404">
    <w:p>
      <w:r>
        <w:rPr>
          <w:rStyle w:val="FootnoteReference"/>
        </w:rPr>
        <w:footnoteRef/>
      </w:r>
      <w:r>
        <w:t xml:space="preserve"> </w:t>
      </w:r>
      <w:r>
        <w:rPr>
          <w:sz w:val="18"/>
          <w:szCs w:val="18"/>
        </w:rPr>
        <w:t xml:space="preserve">[[Bible:Ezekiel 16:46]]</w:t>
      </w:r>
    </w:p>
  </w:footnote>
  <w:footnote w:id="405">
    <w:p>
      <w:r>
        <w:rPr>
          <w:rStyle w:val="FootnoteReference"/>
        </w:rPr>
        <w:footnoteRef/>
      </w:r>
      <w:r>
        <w:t xml:space="preserve"> </w:t>
      </w:r>
      <w:r>
        <w:rPr>
          <w:sz w:val="18"/>
          <w:szCs w:val="18"/>
        </w:rPr>
        <w:t xml:space="preserve">[[Bible:Matthew 27:31]]</w:t>
      </w:r>
    </w:p>
  </w:footnote>
  <w:footnote w:id="40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0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408">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409">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10">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411">
    <w:p>
      <w:r>
        <w:rPr>
          <w:rStyle w:val="FootnoteReference"/>
        </w:rPr>
        <w:footnoteRef/>
      </w:r>
      <w:r>
        <w:t xml:space="preserve"> </w:t>
      </w:r>
      <w:r>
        <w:rPr>
          <w:sz w:val="18"/>
          <w:szCs w:val="18"/>
        </w:rPr>
        <w:t xml:space="preserve">[[Bible:Re 10:13-21]]</w:t>
      </w:r>
    </w:p>
  </w:footnote>
  <w:footnote w:id="412">
    <w:p>
      <w:r>
        <w:rPr>
          <w:rStyle w:val="FootnoteReference"/>
        </w:rPr>
        <w:footnoteRef/>
      </w:r>
      <w:r>
        <w:t xml:space="preserve"> </w:t>
      </w:r>
      <w:r>
        <w:rPr>
          <w:sz w:val="18"/>
          <w:szCs w:val="18"/>
        </w:rPr>
        <w:t xml:space="preserve">[[Bible:Re 11:14-19]]</w:t>
      </w:r>
    </w:p>
  </w:footnote>
  <w:footnote w:id="41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414">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415">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r>
        <w:rPr>
          <w:sz w:val="18"/>
          <w:szCs w:val="18"/>
        </w:rPr>
        <w:t xml:space="preserve">, </w:t>
      </w:r>
      <w:r>
        <w:rPr>
          <w:sz w:val="18"/>
          <w:szCs w:val="18"/>
        </w:rPr>
        <w:t xml:space="preserve">[[Bible:Re 11:18]]</w:t>
      </w:r>
    </w:p>
  </w:footnote>
  <w:footnote w:id="41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417">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r>
        <w:rPr>
          <w:sz w:val="18"/>
          <w:szCs w:val="18"/>
        </w:rPr>
        <w:t xml:space="preserve">, </w:t>
      </w:r>
      <w:r>
        <w:rPr>
          <w:sz w:val="18"/>
          <w:szCs w:val="18"/>
        </w:rPr>
        <w:t xml:space="preserve">[[Bible:Daniel 7:13-14]]</w:t>
      </w:r>
    </w:p>
  </w:footnote>
  <w:footnote w:id="41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19">
    <w:p>
      <w:r>
        <w:rPr>
          <w:rStyle w:val="FootnoteReference"/>
        </w:rPr>
        <w:footnoteRef/>
      </w:r>
      <w:r>
        <w:t xml:space="preserve"> </w:t>
      </w:r>
      <w:r>
        <w:rPr>
          <w:sz w:val="18"/>
          <w:szCs w:val="18"/>
        </w:rPr>
        <w:t xml:space="preserve">[[Bible:Re 7:11]]</w:t>
      </w:r>
      <w:r>
        <w:rPr>
          <w:sz w:val="18"/>
          <w:szCs w:val="18"/>
        </w:rPr>
        <w:t xml:space="preserve">, </w:t>
      </w:r>
      <w:r>
        <w:rPr>
          <w:sz w:val="18"/>
          <w:szCs w:val="18"/>
        </w:rPr>
        <w:t xml:space="preserve">[[Bible:Re 11:16]]</w:t>
      </w:r>
      <w:r>
        <w:rPr>
          <w:sz w:val="18"/>
          <w:szCs w:val="18"/>
          <w:i w:val="1"/>
          <w:iCs w:val="1"/>
        </w:rPr>
        <w:t xml:space="preserve"> — In Revelation 7:11, the ones who fall on their faces are grammatically “all the messengers”: πάντες οἱ ἄγγελοι … καὶ ἔπεσαν … καὶ προσεκύνησαν (“all the messengers … and they fell … and worshiped”). The elders and the four living creatures are in the genitive case, τῶν πρεσβυτέρων καὶ τῶν τεσσάρων ζῴων, because they belong to the phrase κύκλῳ τοῦ θρόνου καὶ τῶν πρεσβυτέρων καὶ τῶν τεσσάρων ζῴων — “around the throne and around the elders and the four living creatures.” They are not the grammatical subject of ἔπεσαν in this verse. This differs from Revelation 11:16, where οἱ εἴκοσι τέσσαρες πρεσβύτεροι — “the twenty-four elders” — are the nominative subject, and the text explicitly says ἔπεσαν ἐπὶ τὰ πρόσωπα αὐτῶν καὶ προσεκύνησαν τῷ θεῷ, “they fell on their faces and worshiped God.” Thus, a similar action appears in both passages, but the grammatical subject differs: in 7:11, it is the messengers; in 11:16, it is the elders.</w:t>
      </w:r>
    </w:p>
  </w:footnote>
  <w:footnote w:id="42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421">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12:17]]</w:t>
      </w:r>
      <w:r>
        <w:rPr>
          <w:sz w:val="18"/>
          <w:szCs w:val="18"/>
          <w:i w:val="1"/>
          <w:iCs w:val="1"/>
        </w:rPr>
        <w:t xml:space="preserve"> — Only the nations here and the Dragon are described as being enraged (ὀργίζω).</w:t>
      </w:r>
    </w:p>
  </w:footnote>
  <w:footnote w:id="422">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423">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p>
  </w:footnote>
  <w:footnote w:id="424">
    <w:p>
      <w:r>
        <w:rPr>
          <w:rStyle w:val="FootnoteReference"/>
        </w:rPr>
        <w:footnoteRef/>
      </w:r>
      <w:r>
        <w:t xml:space="preserve"> </w:t>
      </w:r>
      <w:r>
        <w:rPr>
          <w:sz w:val="18"/>
          <w:szCs w:val="18"/>
        </w:rPr>
        <w:t xml:space="preserve">[[Bible:Re 6:10]]</w:t>
      </w:r>
      <w:r>
        <w:rPr>
          <w:sz w:val="18"/>
          <w:szCs w:val="18"/>
        </w:rPr>
        <w:t xml:space="preserve">, </w:t>
      </w:r>
      <w:r>
        <w:rPr>
          <w:sz w:val="18"/>
          <w:szCs w:val="18"/>
        </w:rPr>
        <w:t xml:space="preserve">[[Bible:Re 11:18]]</w:t>
      </w:r>
      <w:r>
        <w:rPr>
          <w:sz w:val="18"/>
          <w:szCs w:val="18"/>
          <w:i w:val="1"/>
          <w:iCs w:val="1"/>
        </w:rPr>
        <w:t xml:space="preserve"> — The phrase ὁ καιρὸς τῶν νεκρῶν κριθῆναι means “the time for the dead to be judged.” Yet in biblical judicial language, “to be judged” does not necessarily mean “to be condemned.” Judgment may include a verdict rendered in favor of the righteous. In Revelation 11:18, this is shown by the following clauses: God gives reward to His servants, prophets, saints, and those who fear His name, while destroying those who destroy the earth. Thus, the righteous dead may be said to “be judged” in the sense that God renders judgment on their behalf, vindicating them and answering the cry for justice in Revelation 6:10.</w:t>
      </w:r>
    </w:p>
  </w:footnote>
  <w:footnote w:id="42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20:12-13]]</w:t>
      </w:r>
    </w:p>
  </w:footnote>
  <w:footnote w:id="42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22:12]]</w:t>
      </w:r>
      <w:r>
        <w:rPr>
          <w:sz w:val="18"/>
          <w:szCs w:val="18"/>
          <w:i w:val="1"/>
          <w:iCs w:val="1"/>
        </w:rPr>
        <w:t xml:space="preserve"> — μισθός — Reward — these are the only two places this word is used.</w:t>
      </w:r>
    </w:p>
  </w:footnote>
  <w:footnote w:id="427">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428">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429">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r>
        <w:rPr>
          <w:sz w:val="18"/>
          <w:szCs w:val="18"/>
          <w:i w:val="1"/>
          <w:iCs w:val="1"/>
        </w:rPr>
        <w:t xml:space="preserve"> — Referring to the same group.</w:t>
      </w:r>
    </w:p>
  </w:footnote>
  <w:footnote w:id="430">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43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432">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433">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434">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435">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3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37">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38">
    <w:p>
      <w:r>
        <w:rPr>
          <w:rStyle w:val="FootnoteReference"/>
        </w:rPr>
        <w:footnoteRef/>
      </w:r>
      <w:r>
        <w:t xml:space="preserve"> </w:t>
      </w:r>
      <w:r>
        <w:rPr>
          <w:sz w:val="18"/>
          <w:szCs w:val="18"/>
        </w:rPr>
        <w:t xml:space="preserve">[[Bible:Re 7:1-8]]</w:t>
      </w:r>
    </w:p>
  </w:footnote>
  <w:footnote w:id="43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40">
    <w:p>
      <w:r>
        <w:rPr>
          <w:rStyle w:val="FootnoteReference"/>
        </w:rPr>
        <w:footnoteRef/>
      </w:r>
      <w:r>
        <w:t xml:space="preserve"> </w:t>
      </w:r>
      <w:r>
        <w:rPr>
          <w:sz w:val="18"/>
          <w:szCs w:val="18"/>
        </w:rPr>
        <w:t xml:space="preserve">[[Bible:Isaiah 26:15-16]]</w:t>
      </w:r>
    </w:p>
  </w:footnote>
  <w:footnote w:id="441">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42">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4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4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4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46">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47">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48">
    <w:p>
      <w:r>
        <w:rPr>
          <w:rStyle w:val="FootnoteReference"/>
        </w:rPr>
        <w:footnoteRef/>
      </w:r>
      <w:r>
        <w:t xml:space="preserve"> </w:t>
      </w:r>
      <w:r>
        <w:rPr>
          <w:sz w:val="18"/>
          <w:szCs w:val="18"/>
        </w:rPr>
        <w:t xml:space="preserve">[[Bible:Re 1:1]]</w:t>
      </w:r>
    </w:p>
  </w:footnote>
  <w:footnote w:id="449">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50">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51">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14:2]]</w:t>
      </w:r>
    </w:p>
  </w:footnote>
  <w:footnote w:id="452">
    <w:p>
      <w:r>
        <w:rPr>
          <w:rStyle w:val="FootnoteReference"/>
        </w:rPr>
        <w:footnoteRef/>
      </w:r>
      <w:r>
        <w:t xml:space="preserve"> </w:t>
      </w:r>
      <w:r>
        <w:rPr>
          <w:sz w:val="18"/>
          <w:szCs w:val="18"/>
          <w:i w:val="1"/>
          <w:iCs w:val="1"/>
        </w:rPr>
        <w:t xml:space="preserve">(ja) The connection between 12:5 and 14:1-2 may be communicating the ascension of Jesus to the throne before the start of the first 1260 days of the tribulation. </w:t>
      </w:r>
      <w:r>
        <w:rPr>
          <w:sz w:val="18"/>
          <w:szCs w:val="18"/>
        </w:rPr>
        <w:t xml:space="preserve">See also: </w:t>
      </w:r>
      <w:r>
        <w:rPr>
          <w:sz w:val="18"/>
          <w:szCs w:val="18"/>
        </w:rPr>
        <w:t xml:space="preserve">[[Bible:Re 14:2]]</w:t>
      </w:r>
    </w:p>
  </w:footnote>
  <w:footnote w:id="453">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54">
    <w:p>
      <w:r>
        <w:rPr>
          <w:rStyle w:val="FootnoteReference"/>
        </w:rPr>
        <w:footnoteRef/>
      </w:r>
      <w:r>
        <w:t xml:space="preserve"> </w:t>
      </w:r>
      <w:r>
        <w:rPr>
          <w:sz w:val="18"/>
          <w:szCs w:val="18"/>
        </w:rPr>
        <w:t xml:space="preserve">[[Bible:Isaiah 26:13-21]]</w:t>
      </w:r>
    </w:p>
  </w:footnote>
  <w:footnote w:id="455">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5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57">
    <w:p>
      <w:r>
        <w:rPr>
          <w:rStyle w:val="FootnoteReference"/>
        </w:rPr>
        <w:footnoteRef/>
      </w:r>
      <w:r>
        <w:t xml:space="preserve"> </w:t>
      </w:r>
      <w:r>
        <w:rPr>
          <w:sz w:val="18"/>
          <w:szCs w:val="18"/>
        </w:rPr>
        <w:t xml:space="preserve">[[Bible:Re 12:3]]</w:t>
      </w:r>
    </w:p>
  </w:footnote>
  <w:footnote w:id="458">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5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60">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61">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6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6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64">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6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66">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467">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68">
    <w:p>
      <w:r>
        <w:rPr>
          <w:rStyle w:val="FootnoteReference"/>
        </w:rPr>
        <w:footnoteRef/>
      </w:r>
      <w:r>
        <w:t xml:space="preserve"> </w:t>
      </w:r>
      <w:r>
        <w:rPr>
          <w:sz w:val="18"/>
          <w:szCs w:val="18"/>
        </w:rPr>
        <w:t xml:space="preserve">[[Bible:Isaiah 26:19]]</w:t>
      </w:r>
    </w:p>
  </w:footnote>
  <w:footnote w:id="469">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70">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71">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72">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473">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74">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75">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7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12:17]]</w:t>
      </w:r>
      <w:r>
        <w:rPr>
          <w:sz w:val="18"/>
          <w:szCs w:val="18"/>
          <w:i w:val="1"/>
          <w:iCs w:val="1"/>
        </w:rPr>
        <w:t xml:space="preserve"> — Only the nations here and the Dragon are described as being enraged (ὀργίζω).</w:t>
      </w:r>
    </w:p>
  </w:footnote>
  <w:footnote w:id="477">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78">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79">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480">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81">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8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83">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8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8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86">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87">
    <w:p>
      <w:r>
        <w:rPr>
          <w:rStyle w:val="FootnoteReference"/>
        </w:rPr>
        <w:footnoteRef/>
      </w:r>
      <w:r>
        <w:t xml:space="preserve"> </w:t>
      </w:r>
      <w:r>
        <w:rPr>
          <w:sz w:val="18"/>
          <w:szCs w:val="18"/>
        </w:rPr>
        <w:t xml:space="preserve">[[Bible:Daniel 7:7-8]]</w:t>
      </w:r>
    </w:p>
  </w:footnote>
  <w:footnote w:id="488">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8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90">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91">
    <w:p>
      <w:r>
        <w:rPr>
          <w:rStyle w:val="FootnoteReference"/>
        </w:rPr>
        <w:footnoteRef/>
      </w:r>
      <w:r>
        <w:t xml:space="preserve"> </w:t>
      </w:r>
      <w:r>
        <w:rPr>
          <w:sz w:val="18"/>
          <w:szCs w:val="18"/>
        </w:rPr>
        <w:t xml:space="preserve">[[Bible:Daniel 7:25]]</w:t>
      </w:r>
    </w:p>
  </w:footnote>
  <w:footnote w:id="492">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93">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9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9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96">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97">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9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99">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500">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501">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502">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503">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50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505">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0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0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8">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509">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510">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512">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4">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16">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7">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8">
    <w:p>
      <w:r>
        <w:rPr>
          <w:rStyle w:val="FootnoteReference"/>
        </w:rPr>
        <w:footnoteRef/>
      </w:r>
      <w:r>
        <w:t xml:space="preserve"> </w:t>
      </w:r>
      <w:r>
        <w:rPr>
          <w:sz w:val="18"/>
          <w:szCs w:val="18"/>
        </w:rPr>
        <w:t xml:space="preserve">[[Bible:Ezekiel 28:2]]</w:t>
      </w:r>
    </w:p>
  </w:footnote>
  <w:footnote w:id="519">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520">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521">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522">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523">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524">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525">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rPr>
        <w:t xml:space="preserve">, </w:t>
      </w:r>
      <w:r>
        <w:rPr>
          <w:sz w:val="18"/>
          <w:szCs w:val="18"/>
        </w:rPr>
        <w:t xml:space="preserve">[[Bible:Deuteronomy 6:4-9]]</w:t>
      </w:r>
      <w:r>
        <w:rPr>
          <w:sz w:val="18"/>
          <w:szCs w:val="18"/>
          <w:i w:val="1"/>
          <w:iCs w:val="1"/>
        </w:rPr>
        <w:t xml:space="preserve"> — References to the placement of a mark on foreheads.</w:t>
      </w:r>
    </w:p>
  </w:footnote>
  <w:footnote w:id="526">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27">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28">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52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thunder sound is used in the singular form βροντῆς in 6:1 and 14:2. In 6:1, βροντῆς is established as coming from one entity when used this way. In 19:6, we see the plural form for thunder used as βροντῶν. Thus, in 14:2, it should very likely be understood that the first voice "of many waters" is coming from a singular entity, not the plural group of harpers that are divided from the voice of many waters.</w:t>
      </w:r>
    </w:p>
  </w:footnote>
  <w:footnote w:id="530">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14:2]]</w:t>
      </w:r>
    </w:p>
  </w:footnote>
  <w:footnote w:id="531">
    <w:p>
      <w:r>
        <w:rPr>
          <w:rStyle w:val="FootnoteReference"/>
        </w:rPr>
        <w:footnoteRef/>
      </w:r>
      <w:r>
        <w:t xml:space="preserve"> </w:t>
      </w:r>
      <w:r>
        <w:rPr>
          <w:sz w:val="18"/>
          <w:szCs w:val="18"/>
          <w:i w:val="1"/>
          <w:iCs w:val="1"/>
        </w:rPr>
        <w:t xml:space="preserve">(ja) The connection between 12:5 and 14:1-2 may be communicating the ascension of Jesus to the throne before the start of the first 1260 days of the tribulation. </w:t>
      </w:r>
      <w:r>
        <w:rPr>
          <w:sz w:val="18"/>
          <w:szCs w:val="18"/>
        </w:rPr>
        <w:t xml:space="preserve">See also: </w:t>
      </w:r>
      <w:r>
        <w:rPr>
          <w:sz w:val="18"/>
          <w:szCs w:val="18"/>
        </w:rPr>
        <w:t xml:space="preserve">[[Bible:Re 12:5]]</w:t>
      </w:r>
    </w:p>
  </w:footnote>
  <w:footnote w:id="532">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533">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53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3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53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537">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538">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539">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are used. Note, if these (144,000 in 14:4) are those that follow on white horses (19:14) as this exegesis seems to imply, then the 144,000 are seen with him before the first resurrection. This then seems to place the reaping in the clouds by the Son of Man (14:16) before that first resurrection.</w:t>
      </w:r>
    </w:p>
  </w:footnote>
  <w:footnote w:id="540">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41">
    <w:p>
      <w:r>
        <w:rPr>
          <w:rStyle w:val="FootnoteReference"/>
        </w:rPr>
        <w:footnoteRef/>
      </w:r>
      <w:r>
        <w:t xml:space="preserve"> </w:t>
      </w:r>
      <w:r>
        <w:rPr>
          <w:sz w:val="18"/>
          <w:szCs w:val="18"/>
        </w:rPr>
        <w:t xml:space="preserve">[[Bible:Leviticus 23:10]]</w:t>
      </w:r>
    </w:p>
  </w:footnote>
  <w:footnote w:id="54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543">
    <w:p>
      <w:r>
        <w:rPr>
          <w:rStyle w:val="FootnoteReference"/>
        </w:rPr>
        <w:footnoteRef/>
      </w:r>
      <w:r>
        <w:t xml:space="preserve"> </w:t>
      </w:r>
      <w:r>
        <w:rPr>
          <w:sz w:val="18"/>
          <w:szCs w:val="18"/>
        </w:rPr>
        <w:t xml:space="preserve">[[Bible:Philippians 2:15]]</w:t>
      </w:r>
    </w:p>
  </w:footnote>
  <w:footnote w:id="544">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545">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546">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47">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48">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49">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50">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51">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52">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53">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5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5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56">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5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5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59">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60">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561">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56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63">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6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6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66">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67">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68">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69">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70">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571">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7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7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74">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7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76">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77">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78">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579">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80">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r>
        <w:rPr>
          <w:sz w:val="18"/>
          <w:szCs w:val="18"/>
        </w:rPr>
        <w:t xml:space="preserve">, </w:t>
      </w:r>
      <w:r>
        <w:rPr>
          <w:sz w:val="18"/>
          <w:szCs w:val="18"/>
        </w:rPr>
        <w:t xml:space="preserve">[[Bible:Daniel 7:13]]</w:t>
      </w:r>
      <w:r>
        <w:rPr>
          <w:sz w:val="18"/>
          <w:szCs w:val="18"/>
        </w:rPr>
        <w:t xml:space="preserve">, </w:t>
      </w:r>
      <w:r>
        <w:rPr>
          <w:sz w:val="18"/>
          <w:szCs w:val="18"/>
        </w:rPr>
        <w:t xml:space="preserve">[[Bible:Matt 24:30]]</w:t>
      </w:r>
      <w:r>
        <w:rPr>
          <w:sz w:val="18"/>
          <w:szCs w:val="18"/>
        </w:rPr>
        <w:t xml:space="preserve">, </w:t>
      </w:r>
      <w:r>
        <w:rPr>
          <w:sz w:val="18"/>
          <w:szCs w:val="18"/>
        </w:rPr>
        <w:t xml:space="preserve">[[Bible:Matt 24:44]]</w:t>
      </w:r>
      <w:r>
        <w:rPr>
          <w:sz w:val="18"/>
          <w:szCs w:val="18"/>
        </w:rPr>
        <w:t xml:space="preserve">, </w:t>
      </w:r>
      <w:r>
        <w:rPr>
          <w:sz w:val="18"/>
          <w:szCs w:val="18"/>
        </w:rPr>
        <w:t xml:space="preserve">[[Bible:Mark 13:26]]</w:t>
      </w:r>
      <w:r>
        <w:rPr>
          <w:sz w:val="18"/>
          <w:szCs w:val="18"/>
        </w:rPr>
        <w:t xml:space="preserve">, </w:t>
      </w:r>
      <w:r>
        <w:rPr>
          <w:sz w:val="18"/>
          <w:szCs w:val="18"/>
        </w:rPr>
        <w:t xml:space="preserve">[[Bible:Luke 12:40]]</w:t>
      </w:r>
      <w:r>
        <w:rPr>
          <w:sz w:val="18"/>
          <w:szCs w:val="18"/>
        </w:rPr>
        <w:t xml:space="preserve">, </w:t>
      </w:r>
      <w:r>
        <w:rPr>
          <w:sz w:val="18"/>
          <w:szCs w:val="18"/>
        </w:rPr>
        <w:t xml:space="preserve">[[Bible:Luke 17:30]]</w:t>
      </w:r>
      <w:r>
        <w:rPr>
          <w:sz w:val="18"/>
          <w:szCs w:val="18"/>
        </w:rPr>
        <w:t xml:space="preserve">, </w:t>
      </w:r>
      <w:r>
        <w:rPr>
          <w:sz w:val="18"/>
          <w:szCs w:val="18"/>
        </w:rPr>
        <w:t xml:space="preserve">[[Bible:Luke 21:27]]</w:t>
      </w:r>
    </w:p>
  </w:footnote>
  <w:footnote w:id="581">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82">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8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84">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85">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86">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r>
        <w:rPr>
          <w:sz w:val="18"/>
          <w:szCs w:val="18"/>
        </w:rPr>
        <w:t xml:space="preserve">, </w:t>
      </w:r>
      <w:r>
        <w:rPr>
          <w:sz w:val="18"/>
          <w:szCs w:val="18"/>
        </w:rPr>
        <w:t xml:space="preserve">[[Bible:Daniel 7:13-14]]</w:t>
      </w:r>
    </w:p>
  </w:footnote>
  <w:footnote w:id="587">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88">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89">
    <w:p>
      <w:r>
        <w:rPr>
          <w:rStyle w:val="FootnoteReference"/>
        </w:rPr>
        <w:footnoteRef/>
      </w:r>
      <w:r>
        <w:t xml:space="preserve"> </w:t>
      </w:r>
      <w:r>
        <w:rPr>
          <w:sz w:val="18"/>
          <w:szCs w:val="18"/>
        </w:rPr>
        <w:t xml:space="preserve">[[Bible:Re 14:16]]</w:t>
      </w:r>
      <w:r>
        <w:rPr>
          <w:sz w:val="18"/>
          <w:szCs w:val="18"/>
        </w:rPr>
        <w:t xml:space="preserve">, </w:t>
      </w:r>
      <w:r>
        <w:rPr>
          <w:sz w:val="18"/>
          <w:szCs w:val="18"/>
        </w:rPr>
        <w:t xml:space="preserve">[[Bible:Matthew 24:31]]</w:t>
      </w:r>
    </w:p>
  </w:footnote>
  <w:footnote w:id="590">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91">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92">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9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94">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95">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9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597">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9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99">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600">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19:11]]</w:t>
      </w:r>
      <w:r>
        <w:rPr>
          <w:sz w:val="18"/>
          <w:szCs w:val="18"/>
        </w:rPr>
        <w:t xml:space="preserve">, </w:t>
      </w:r>
      <w:r>
        <w:rPr>
          <w:sz w:val="18"/>
          <w:szCs w:val="18"/>
        </w:rPr>
        <w:t xml:space="preserve">[[Bible:Re 19:14]]</w:t>
      </w:r>
    </w:p>
  </w:footnote>
  <w:footnote w:id="60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60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603">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604">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15:3]]</w:t>
      </w:r>
    </w:p>
  </w:footnote>
  <w:footnote w:id="605">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60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607">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16:1]]</w:t>
      </w:r>
      <w:r>
        <w:rPr>
          <w:sz w:val="18"/>
          <w:szCs w:val="18"/>
          <w:i w:val="1"/>
          <w:iCs w:val="1"/>
        </w:rPr>
        <w:t xml:space="preserve"> — Seven messengers with the last seven plagues.</w:t>
      </w:r>
    </w:p>
  </w:footnote>
  <w:footnote w:id="608">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609">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610">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611">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61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1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1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615">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15:3]]</w:t>
      </w:r>
    </w:p>
  </w:footnote>
  <w:footnote w:id="61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617">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61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19">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2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21">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622">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62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62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62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26">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27">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628">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16:1]]</w:t>
      </w:r>
      <w:r>
        <w:rPr>
          <w:sz w:val="18"/>
          <w:szCs w:val="18"/>
          <w:i w:val="1"/>
          <w:iCs w:val="1"/>
        </w:rPr>
        <w:t xml:space="preserve"> — Seven messengers with the last seven plagues.</w:t>
      </w:r>
    </w:p>
  </w:footnote>
  <w:footnote w:id="62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63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631">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63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3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34">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635">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636">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637">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638">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63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640">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641">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16:9]]</w:t>
      </w:r>
      <w:r>
        <w:rPr>
          <w:sz w:val="18"/>
          <w:szCs w:val="18"/>
          <w:i w:val="1"/>
          <w:iCs w:val="1"/>
        </w:rPr>
        <w:t xml:space="preserve"> — This seems to agree, that the church is not touched by this heat.</w:t>
      </w:r>
    </w:p>
  </w:footnote>
  <w:footnote w:id="642">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643">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644">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645">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646">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64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648">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649">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650">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651">
    <w:p>
      <w:r>
        <w:rPr>
          <w:rStyle w:val="FootnoteReference"/>
        </w:rPr>
        <w:footnoteRef/>
      </w:r>
      <w:r>
        <w:t xml:space="preserve"> </w:t>
      </w:r>
      <w:r>
        <w:rPr>
          <w:sz w:val="18"/>
          <w:szCs w:val="18"/>
        </w:rPr>
        <w:t xml:space="preserve">[[Bible:Re 16:15]]</w:t>
      </w:r>
      <w:r>
        <w:rPr>
          <w:sz w:val="18"/>
          <w:szCs w:val="18"/>
        </w:rPr>
        <w:t xml:space="preserve">, </w:t>
      </w:r>
      <w:r>
        <w:rPr>
          <w:sz w:val="18"/>
          <w:szCs w:val="18"/>
        </w:rPr>
        <w:t xml:space="preserve">[[Bible:Re 19:11]]</w:t>
      </w:r>
    </w:p>
  </w:footnote>
  <w:footnote w:id="65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53">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54">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65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56">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57">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 Psalm 77:17-19 feels like an echo of this.</w:t>
      </w:r>
    </w:p>
  </w:footnote>
  <w:footnote w:id="65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5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6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61">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62">
    <w:p>
      <w:r>
        <w:rPr>
          <w:rStyle w:val="FootnoteReference"/>
        </w:rPr>
        <w:footnoteRef/>
      </w:r>
      <w:r>
        <w:t xml:space="preserve"> </w:t>
      </w:r>
      <w:r>
        <w:rPr>
          <w:sz w:val="18"/>
          <w:szCs w:val="18"/>
        </w:rPr>
        <w:t xml:space="preserve">[[Bible:Zechariah 2:7]]</w:t>
      </w:r>
    </w:p>
  </w:footnote>
  <w:footnote w:id="663">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66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665">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66">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6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69">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70">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71">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7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7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7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75">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76">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77">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 is used four times. In Rev 1, the mystery is clearly the church. In Rev 10, the "mystery of God" that is "finished" is unclear: whether the "mystery" refers broadly or specifically. When we look at the uses of mystery in Rev 17, both instances refer to Mystery Babylon. In 3/4 uses of "mystery," it is either the church or Babylon. What is striking is that Mystery Babylon is directly contrasted with the image of New Jerusalem (17:3, 21:10). If there is meant to be a connection using the word μυστήριον, then it may be to reinforce the contrast of these two women. This may shed light on what Rev 10 describes as the mystery. The Mystery of God (that is, the one who is his) is the church (Ephesians 3:4-6). If this relation is true for Rev 10, then μυστήριον refers twice to the church and twice to Babylon.</w:t>
      </w:r>
    </w:p>
  </w:footnote>
  <w:footnote w:id="67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9">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80">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 is used four times. In Rev 1, the mystery is clearly the church. In Rev 10, the "mystery of God" that is "finished" is unclear: whether the "mystery" refers broadly or specifically. When we look at the uses of mystery in Rev 17, both instances refer to Mystery Babylon. In 3/4 uses of "mystery," it is either the church or Babylon. What is striking is that Mystery Babylon is directly contrasted with the image of New Jerusalem (17:3, 21:10). If there is meant to be a connection using the word μυστήριον, then it may be to reinforce the contrast of these two women. This may shed light on what Rev 10 describes as the mystery. The Mystery of God (that is, the one who is his) is the church (Ephesians 3:4-6). If this relation is true for Rev 10, then μυστήριον refers twice to the church and twice to Babylon.</w:t>
      </w:r>
    </w:p>
  </w:footnote>
  <w:footnote w:id="68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8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83">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84">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85">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86">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8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88">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8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90">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9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92">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93">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94">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95">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96">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97">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98">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99">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5:5]]</w:t>
      </w:r>
      <w:r>
        <w:rPr>
          <w:sz w:val="18"/>
          <w:szCs w:val="18"/>
        </w:rPr>
        <w:t xml:space="preserve">, </w:t>
      </w:r>
      <w:r>
        <w:rPr>
          <w:sz w:val="18"/>
          <w:szCs w:val="18"/>
        </w:rPr>
        <w:t xml:space="preserve">[[Bible:Re 17:14]]</w:t>
      </w:r>
      <w:r>
        <w:rPr>
          <w:sz w:val="18"/>
          <w:szCs w:val="18"/>
          <w:i w:val="1"/>
          <w:iCs w:val="1"/>
        </w:rPr>
        <w:t xml:space="preserve"> — Overcoming is a type of action Jesus demonstrates.</w:t>
      </w:r>
    </w:p>
  </w:footnote>
  <w:footnote w:id="700">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01">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02">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703">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04">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705">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706">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707">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0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09">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710">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711">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71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13">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71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715">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716">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717">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718">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719">
    <w:p>
      <w:r>
        <w:rPr>
          <w:rStyle w:val="FootnoteReference"/>
        </w:rPr>
        <w:footnoteRef/>
      </w:r>
      <w:r>
        <w:t xml:space="preserve"> </w:t>
      </w:r>
      <w:r>
        <w:rPr>
          <w:sz w:val="18"/>
          <w:szCs w:val="18"/>
        </w:rPr>
        <w:t xml:space="preserve">[[Bible:Jeremiah 17:18]]</w:t>
      </w:r>
    </w:p>
  </w:footnote>
  <w:footnote w:id="720">
    <w:p>
      <w:r>
        <w:rPr>
          <w:rStyle w:val="FootnoteReference"/>
        </w:rPr>
        <w:footnoteRef/>
      </w:r>
      <w:r>
        <w:t xml:space="preserve"> </w:t>
      </w:r>
      <w:r>
        <w:rPr>
          <w:sz w:val="18"/>
          <w:szCs w:val="18"/>
        </w:rPr>
        <w:t xml:space="preserve">[[Bible:Re 8:1]]</w:t>
      </w:r>
      <w:r>
        <w:rPr>
          <w:sz w:val="18"/>
          <w:szCs w:val="18"/>
          <w:i w:val="1"/>
          <w:iCs w:val="1"/>
        </w:rPr>
        <w:t xml:space="preserve"> — Contrast of her self glory vs the real glory the messenger has.</w:t>
      </w:r>
    </w:p>
  </w:footnote>
  <w:footnote w:id="721">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722">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23">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2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2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2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27">
    <w:p>
      <w:r>
        <w:rPr>
          <w:rStyle w:val="FootnoteReference"/>
        </w:rPr>
        <w:footnoteRef/>
      </w:r>
      <w:r>
        <w:t xml:space="preserve"> </w:t>
      </w:r>
      <w:r>
        <w:rPr>
          <w:sz w:val="18"/>
          <w:szCs w:val="18"/>
        </w:rPr>
        <w:t xml:space="preserve">[[Bible:Re 8:2]]</w:t>
      </w:r>
      <w:r>
        <w:rPr>
          <w:sz w:val="18"/>
          <w:szCs w:val="18"/>
          <w:i w:val="1"/>
          <w:iCs w:val="1"/>
        </w:rPr>
        <w:t xml:space="preserve"> — Contrast of her might vs the real might that the messenger has.</w:t>
      </w:r>
    </w:p>
  </w:footnote>
  <w:footnote w:id="728">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2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0">
    <w:p>
      <w:r>
        <w:rPr>
          <w:rStyle w:val="FootnoteReference"/>
        </w:rPr>
        <w:footnoteRef/>
      </w:r>
      <w:r>
        <w:t xml:space="preserve"> </w:t>
      </w:r>
      <w:r>
        <w:rPr>
          <w:sz w:val="18"/>
          <w:szCs w:val="18"/>
        </w:rPr>
        <w:t xml:space="preserve">[[Bible:Ezekiel 27]]</w:t>
      </w:r>
    </w:p>
  </w:footnote>
  <w:footnote w:id="73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3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33">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3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3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36">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73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3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3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40">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41">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42">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43">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744">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74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46">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47">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4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4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5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51">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752">
    <w:p>
      <w:r>
        <w:rPr>
          <w:rStyle w:val="FootnoteReference"/>
        </w:rPr>
        <w:footnoteRef/>
      </w:r>
      <w:r>
        <w:t xml:space="preserve"> </w:t>
      </w:r>
      <w:r>
        <w:rPr>
          <w:sz w:val="18"/>
          <w:szCs w:val="18"/>
          <w:i w:val="1"/>
          <w:iCs w:val="1"/>
        </w:rPr>
        <w:t xml:space="preserve">(im) In both Revelation 5:9 and 7:9, the redeemed from every nation are mentioned before the sevenfold praise is heard around the throne. The multitude in Revelation 7:9 is explicitly innumerable, which distinguishes it from the numbered 144,000. In Revelation 19:1–6, it is not immediately clear whether the “great multitude” is itself the wife of the Lamb, since the group speaks of her in the third person. However, the group may still be connected to the wife because Revelation 19 echoes the multitude scene of Revelation 7. The wording of a song or heavenly chorus should also be handled carefully; Revelation 5:9 provides a useful example, since some manuscripts, including Sinaiticus, include “us” in the new song, while other important witnesses omit it. This shows that the pronouns within a song do not always settle the identity of every singer as directly as ordinary narrative dialogue might. 
However, that same group in 19:1 also says in 19:2 "... and has avenged the blood of his servants," which would make the group refer to itself in the third person, making the dialogue coming from the servants unusual. But John does the same in 1:1 when he says of himself, "to His bond-servant John". Meaning, a person (or persons) can refer to themself by an identity such as being a servant. In that sense, the phrase "... and has avenged the blood of his servants," confirms who the multitude is in 19:1; they are the servants. </w:t>
      </w:r>
      <w:r>
        <w:rPr>
          <w:sz w:val="18"/>
          <w:szCs w:val="18"/>
        </w:rPr>
        <w:t xml:space="preserve">See also: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19:6]]</w:t>
      </w:r>
    </w:p>
  </w:footnote>
  <w:footnote w:id="75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54">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55">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75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757">
    <w:p>
      <w:r>
        <w:rPr>
          <w:rStyle w:val="FootnoteReference"/>
        </w:rPr>
        <w:footnoteRef/>
      </w:r>
      <w:r>
        <w:t xml:space="preserve"> </w:t>
      </w:r>
      <w:r>
        <w:rPr>
          <w:sz w:val="18"/>
          <w:szCs w:val="18"/>
        </w:rPr>
        <w:t xml:space="preserve">[[Bible:Re 7:12]]</w:t>
      </w:r>
      <w:r>
        <w:rPr>
          <w:sz w:val="18"/>
          <w:szCs w:val="18"/>
        </w:rPr>
        <w:t xml:space="preserve">, </w:t>
      </w:r>
      <w:r>
        <w:rPr>
          <w:sz w:val="18"/>
          <w:szCs w:val="18"/>
        </w:rPr>
        <w:t xml:space="preserve">[[Bible:Re 18:1-2]]</w:t>
      </w:r>
      <w:r>
        <w:rPr>
          <w:sz w:val="18"/>
          <w:szCs w:val="18"/>
        </w:rPr>
        <w:t xml:space="preserve">, </w:t>
      </w:r>
      <w:r>
        <w:rPr>
          <w:sz w:val="18"/>
          <w:szCs w:val="18"/>
        </w:rPr>
        <w:t xml:space="preserve">[[Bible:Re 18:7]]</w:t>
      </w:r>
      <w:r>
        <w:rPr>
          <w:sz w:val="18"/>
          <w:szCs w:val="18"/>
        </w:rPr>
        <w:t xml:space="preserve">, </w:t>
      </w:r>
      <w:r>
        <w:rPr>
          <w:sz w:val="18"/>
          <w:szCs w:val="18"/>
        </w:rPr>
        <w:t xml:space="preserve">[[Bible:Re 18:10]]</w:t>
      </w:r>
      <w:r>
        <w:rPr>
          <w:sz w:val="18"/>
          <w:szCs w:val="18"/>
          <w:i w:val="1"/>
          <w:iCs w:val="1"/>
        </w:rPr>
        <w:t xml:space="preserve"> — Glory and might are God's not Mystery Babylon's.</w:t>
      </w:r>
    </w:p>
  </w:footnote>
  <w:footnote w:id="758">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59">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60">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761">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62">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6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64">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6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6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r>
        <w:rPr>
          <w:sz w:val="18"/>
          <w:szCs w:val="18"/>
          <w:i w:val="1"/>
          <w:iCs w:val="1"/>
        </w:rPr>
        <w:t xml:space="preserve"> — Referring to the same group.</w:t>
      </w:r>
    </w:p>
  </w:footnote>
  <w:footnote w:id="767">
    <w:p>
      <w:r>
        <w:rPr>
          <w:rStyle w:val="FootnoteReference"/>
        </w:rPr>
        <w:footnoteRef/>
      </w:r>
      <w:r>
        <w:t xml:space="preserve"> </w:t>
      </w:r>
      <w:r>
        <w:rPr>
          <w:sz w:val="18"/>
          <w:szCs w:val="18"/>
          <w:i w:val="1"/>
          <w:iCs w:val="1"/>
        </w:rPr>
        <w:t xml:space="preserve">(im) In both Revelation 5:9 and 7:9, the redeemed from every nation are mentioned before the sevenfold praise is heard around the throne. The multitude in Revelation 7:9 is explicitly innumerable, which distinguishes it from the numbered 144,000. In Revelation 19:1–6, it is not immediately clear whether the “great multitude” is itself the wife of the Lamb, since the group speaks of her in the third person. However, the group may still be connected to the wife because Revelation 19 echoes the multitude scene of Revelation 7. The wording of a song or heavenly chorus should also be handled carefully; Revelation 5:9 provides a useful example, since some manuscripts, including Sinaiticus, include “us” in the new song, while other important witnesses omit it. This shows that the pronouns within a song do not always settle the identity of every singer as directly as ordinary narrative dialogue might. 
However, that same group in 19:1 also says in 19:2 "... and has avenged the blood of his servants," which would make the group refer to itself in the third person, making the dialogue coming from the servants unusual. But John does the same in 1:1 when he says of himself, "to His bond-servant John". Meaning, a person (or persons) can refer to themself by an identity such as being a servant. In that sense, the phrase "... and has avenged the blood of his servants," confirms who the multitude is in 19:1; they are the servants. </w:t>
      </w:r>
      <w:r>
        <w:rPr>
          <w:sz w:val="18"/>
          <w:szCs w:val="18"/>
        </w:rPr>
        <w:t xml:space="preserve">See also: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19:1]]</w:t>
      </w:r>
    </w:p>
  </w:footnote>
  <w:footnote w:id="76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6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7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 But here in 19:6 it is plural, not singular, like in 6:1, 14:2.</w:t>
      </w:r>
    </w:p>
  </w:footnote>
  <w:footnote w:id="771">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72">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73">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7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7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7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77">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78">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79">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780">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78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82">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19:14]]</w:t>
      </w:r>
    </w:p>
  </w:footnote>
  <w:footnote w:id="783">
    <w:p>
      <w:r>
        <w:rPr>
          <w:rStyle w:val="FootnoteReference"/>
        </w:rPr>
        <w:footnoteRef/>
      </w:r>
      <w:r>
        <w:t xml:space="preserve"> </w:t>
      </w:r>
      <w:r>
        <w:rPr>
          <w:sz w:val="18"/>
          <w:szCs w:val="18"/>
        </w:rPr>
        <w:t xml:space="preserve">[[Bible:Re 16:15]]</w:t>
      </w:r>
      <w:r>
        <w:rPr>
          <w:sz w:val="18"/>
          <w:szCs w:val="18"/>
        </w:rPr>
        <w:t xml:space="preserve">, </w:t>
      </w:r>
      <w:r>
        <w:rPr>
          <w:sz w:val="18"/>
          <w:szCs w:val="18"/>
        </w:rPr>
        <w:t xml:space="preserve">[[Bible:Re 19:11]]</w:t>
      </w:r>
    </w:p>
  </w:footnote>
  <w:footnote w:id="784">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85">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86">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87">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19:11]]</w:t>
      </w:r>
    </w:p>
  </w:footnote>
  <w:footnote w:id="788">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8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90">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are used. Note, if these (144,000 in 14:4) are those that follow on white horses (19:14) as this exegesis seems to imply, then the 144,000 are seen with him before the first resurrection. This then seems to place the reaping in the clouds by the Son of Man (14:16) before that first resurrection.</w:t>
      </w:r>
    </w:p>
  </w:footnote>
  <w:footnote w:id="7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92">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93">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94">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95">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79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rPr>
        <w:t xml:space="preserve">, </w:t>
      </w:r>
      <w:r>
        <w:rPr>
          <w:sz w:val="18"/>
          <w:szCs w:val="18"/>
        </w:rPr>
        <w:t xml:space="preserve">[[Bible:Psalms 75:8]]</w:t>
      </w:r>
      <w:r>
        <w:rPr>
          <w:sz w:val="18"/>
          <w:szCs w:val="18"/>
          <w:i w:val="1"/>
          <w:iCs w:val="1"/>
        </w:rPr>
        <w:t xml:space="preserve"> — The fury of God, sometimes paired with wrath.</w:t>
      </w:r>
    </w:p>
  </w:footnote>
  <w:footnote w:id="797">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98">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99">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800">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801">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802">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803">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804">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80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06">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0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i w:val="1"/>
          <w:iCs w:val="1"/>
        </w:rPr>
        <w:t xml:space="preserve"> — It is important to understand that Revelation tells us the beast and false prophet are already in the lake of fire at the end of the 1000 years, meaning they have been there for 1000 years when Satan is cast into it. This places the beast and false prophet's entrance into the lake of fire before the first resurrection in Revelation 20:4.</w:t>
      </w:r>
    </w:p>
  </w:footnote>
  <w:footnote w:id="808">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09">
    <w:p>
      <w:r>
        <w:rPr>
          <w:rStyle w:val="FootnoteReference"/>
        </w:rPr>
        <w:footnoteRef/>
      </w:r>
      <w:r>
        <w:t xml:space="preserve"> </w:t>
      </w:r>
      <w:r>
        <w:rPr>
          <w:sz w:val="18"/>
          <w:szCs w:val="18"/>
        </w:rPr>
        <w:t xml:space="preserve">[[Bible:Daniel 7:11]]</w:t>
      </w:r>
    </w:p>
  </w:footnote>
  <w:footnote w:id="810">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1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81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81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81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15">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816">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17">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818">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819">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820">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82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2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23">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2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2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26">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2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2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2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830">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3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32">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833">
    <w:p>
      <w:r>
        <w:rPr>
          <w:rStyle w:val="FootnoteReference"/>
        </w:rPr>
        <w:footnoteRef/>
      </w:r>
      <w:r>
        <w:t xml:space="preserve"> </w:t>
      </w:r>
      <w:r>
        <w:rPr>
          <w:sz w:val="18"/>
          <w:szCs w:val="18"/>
        </w:rPr>
        <w:t xml:space="preserve">[[Bible:Re 16:14]]</w:t>
      </w:r>
      <w:r>
        <w:rPr>
          <w:sz w:val="18"/>
          <w:szCs w:val="18"/>
        </w:rPr>
        <w:t xml:space="preserve">, </w:t>
      </w:r>
      <w:r>
        <w:rPr>
          <w:sz w:val="18"/>
          <w:szCs w:val="18"/>
        </w:rPr>
        <w:t xml:space="preserve">[[Bible:Re 16:16]]</w:t>
      </w:r>
      <w:r>
        <w:rPr>
          <w:sz w:val="18"/>
          <w:szCs w:val="18"/>
        </w:rPr>
        <w:t xml:space="preserve">, </w:t>
      </w:r>
      <w:r>
        <w:rPr>
          <w:sz w:val="18"/>
          <w:szCs w:val="18"/>
        </w:rPr>
        <w:t xml:space="preserve">[[Bible:Re 19:17]]</w:t>
      </w:r>
      <w:r>
        <w:rPr>
          <w:sz w:val="18"/>
          <w:szCs w:val="18"/>
        </w:rPr>
        <w:t xml:space="preserve">, </w:t>
      </w:r>
      <w:r>
        <w:rPr>
          <w:sz w:val="18"/>
          <w:szCs w:val="18"/>
        </w:rPr>
        <w:t xml:space="preserve">[[Bible:Re 19:19]]</w:t>
      </w:r>
      <w:r>
        <w:rPr>
          <w:sz w:val="18"/>
          <w:szCs w:val="18"/>
        </w:rPr>
        <w:t xml:space="preserve">, </w:t>
      </w:r>
      <w:r>
        <w:rPr>
          <w:sz w:val="18"/>
          <w:szCs w:val="18"/>
        </w:rPr>
        <w:t xml:space="preserve">[[Bible:Re 20:8]]</w:t>
      </w:r>
      <w:r>
        <w:rPr>
          <w:sz w:val="18"/>
          <w:szCs w:val="18"/>
          <w:i w:val="1"/>
          <w:iCs w:val="1"/>
        </w:rPr>
        <w:t xml:space="preserve"> — While “gathering” is set in the context of war in Revelation, this does not mean that all gatherings are the same event. The war gatherings in Revelation 16 and 19 are both connected with the winepress imagery, but the war in Revelation 20 is not.
Further, the war in Revelation 20 is waged by Satan himself, while the wars in Revelation 16 and 19 are associated with the beast and the false prophet. Revelation 20 takes place only after Satan is released from the bottomless pit. Revelation 20:10 also makes clear that the beast and the false prophet are already in the lake of fire before this final war is completed.
This order matters. Revelation 19 shows the beast and the false prophet being cast into the lake of fire, and only afterward is Satan bound and cast into the bottomless pit. Therefore, the war of Revelation 20 should not be collapsed into the war gatherings of Revelation 16 and 19 simply because the word or theme of “gathering” appears in each context.</w:t>
      </w:r>
    </w:p>
  </w:footnote>
  <w:footnote w:id="83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83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20:9]]</w:t>
      </w:r>
    </w:p>
  </w:footnote>
  <w:footnote w:id="836">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3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i w:val="1"/>
          <w:iCs w:val="1"/>
        </w:rPr>
        <w:t xml:space="preserve"> — It is important to understand that Revelation tells us the beast and false prophet are already in the lake of fire at the end of the 1000 years, meaning they have been there for 1000 years when Satan is cast into it. This places the beast and false prophet's entrance into the lake of fire before the first resurrection in Revelation 20:4.</w:t>
      </w:r>
    </w:p>
  </w:footnote>
  <w:footnote w:id="838">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839">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20:12-13]]</w:t>
      </w:r>
    </w:p>
  </w:footnote>
  <w:footnote w:id="840">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4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4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84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4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845">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4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4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848">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49">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50">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851">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852">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853">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854">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855">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856">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857">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58">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5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860">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861">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62">
    <w:p>
      <w:r>
        <w:rPr>
          <w:rStyle w:val="FootnoteReference"/>
        </w:rPr>
        <w:footnoteRef/>
      </w:r>
      <w:r>
        <w:t xml:space="preserve"> </w:t>
      </w:r>
      <w:r>
        <w:rPr>
          <w:sz w:val="18"/>
          <w:szCs w:val="18"/>
        </w:rPr>
        <w:t xml:space="preserve">[[Bible:Isaiah 60:18]]</w:t>
      </w:r>
    </w:p>
  </w:footnote>
  <w:footnote w:id="863">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864">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865">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86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67">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868">
    <w:p>
      <w:r>
        <w:rPr>
          <w:rStyle w:val="FootnoteReference"/>
        </w:rPr>
        <w:footnoteRef/>
      </w:r>
      <w:r>
        <w:t xml:space="preserve"> </w:t>
      </w:r>
      <w:r>
        <w:rPr>
          <w:sz w:val="18"/>
          <w:szCs w:val="18"/>
        </w:rPr>
        <w:t xml:space="preserve">[[Bible:Isaiah 54:11-12]]</w:t>
      </w:r>
    </w:p>
  </w:footnote>
  <w:footnote w:id="869">
    <w:p>
      <w:r>
        <w:rPr>
          <w:rStyle w:val="FootnoteReference"/>
        </w:rPr>
        <w:footnoteRef/>
      </w:r>
      <w:r>
        <w:t xml:space="preserve"> </w:t>
      </w:r>
      <w:r>
        <w:rPr>
          <w:sz w:val="18"/>
          <w:szCs w:val="18"/>
        </w:rPr>
        <w:t xml:space="preserve">[[Bible:Isaiah 54:11-12]]</w:t>
      </w:r>
    </w:p>
  </w:footnote>
  <w:footnote w:id="870">
    <w:p>
      <w:r>
        <w:rPr>
          <w:rStyle w:val="FootnoteReference"/>
        </w:rPr>
        <w:footnoteRef/>
      </w:r>
      <w:r>
        <w:t xml:space="preserve"> </w:t>
      </w:r>
      <w:r>
        <w:rPr>
          <w:sz w:val="18"/>
          <w:szCs w:val="18"/>
        </w:rPr>
        <w:t xml:space="preserve">[[Bible:Isaiah 54:11-12]]</w:t>
      </w:r>
    </w:p>
  </w:footnote>
  <w:footnote w:id="871">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87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873">
    <w:p>
      <w:r>
        <w:rPr>
          <w:rStyle w:val="FootnoteReference"/>
        </w:rPr>
        <w:footnoteRef/>
      </w:r>
      <w:r>
        <w:t xml:space="preserve"> </w:t>
      </w:r>
      <w:r>
        <w:rPr>
          <w:sz w:val="18"/>
          <w:szCs w:val="18"/>
        </w:rPr>
        <w:t xml:space="preserve">[[Bible:Isaiah 60:19]]</w:t>
      </w:r>
    </w:p>
  </w:footnote>
  <w:footnote w:id="874">
    <w:p>
      <w:r>
        <w:rPr>
          <w:rStyle w:val="FootnoteReference"/>
        </w:rPr>
        <w:footnoteRef/>
      </w:r>
      <w:r>
        <w:t xml:space="preserve"> </w:t>
      </w:r>
      <w:r>
        <w:rPr>
          <w:sz w:val="18"/>
          <w:szCs w:val="18"/>
        </w:rPr>
        <w:t xml:space="preserve">[[Bible:Isaiah 60:20]]</w:t>
      </w:r>
    </w:p>
  </w:footnote>
  <w:footnote w:id="87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76">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77">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78">
    <w:p>
      <w:r>
        <w:rPr>
          <w:rStyle w:val="FootnoteReference"/>
        </w:rPr>
        <w:footnoteRef/>
      </w:r>
      <w:r>
        <w:t xml:space="preserve"> </w:t>
      </w:r>
      <w:r>
        <w:rPr>
          <w:sz w:val="18"/>
          <w:szCs w:val="18"/>
        </w:rPr>
        <w:t xml:space="preserve">[[Bible:Isaiah 60:11]]</w:t>
      </w:r>
    </w:p>
  </w:footnote>
  <w:footnote w:id="87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880">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81">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8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83">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84">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85">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86">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87">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88">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89">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90">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9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92">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9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9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95">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96">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97">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9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99">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00">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901">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22:12]]</w:t>
      </w:r>
      <w:r>
        <w:rPr>
          <w:sz w:val="18"/>
          <w:szCs w:val="18"/>
          <w:i w:val="1"/>
          <w:iCs w:val="1"/>
        </w:rPr>
        <w:t xml:space="preserve"> — μισθός — Reward — these are the only two places this word is used.</w:t>
      </w:r>
    </w:p>
  </w:footnote>
  <w:footnote w:id="90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903">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90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905">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90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907">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908">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909">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910">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911">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912">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913">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91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91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91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917">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2026-07-02T17:04:09+00:00</dcterms:created>
  <dcterms:modified xsi:type="dcterms:W3CDTF">2026-07-02T17:04:09+00:00</dcterms:modified>
</cp:coreProperties>
</file>

<file path=docProps/custom.xml><?xml version="1.0" encoding="utf-8"?>
<Properties xmlns="http://schemas.openxmlformats.org/officeDocument/2006/custom-properties" xmlns:vt="http://schemas.openxmlformats.org/officeDocument/2006/docPropsVTypes"/>
</file>